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22" w:rsidRPr="00936422" w:rsidRDefault="00936422" w:rsidP="00936422">
      <w:pPr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936422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Pr="00936422">
        <w:rPr>
          <w:rFonts w:ascii="仿宋_GB2312" w:eastAsia="仿宋_GB2312" w:hAnsi="宋体" w:cs="Times New Roman"/>
          <w:sz w:val="32"/>
          <w:szCs w:val="32"/>
        </w:rPr>
        <w:t>1</w:t>
      </w:r>
    </w:p>
    <w:p w:rsidR="00936422" w:rsidRPr="00936422" w:rsidRDefault="00936422" w:rsidP="00936422">
      <w:pPr>
        <w:jc w:val="center"/>
        <w:rPr>
          <w:rFonts w:ascii="宋体" w:eastAsia="宋体" w:hAnsi="宋体" w:cs="Times New Roman"/>
          <w:sz w:val="44"/>
          <w:szCs w:val="44"/>
        </w:rPr>
      </w:pPr>
      <w:r w:rsidRPr="00936422">
        <w:rPr>
          <w:rFonts w:ascii="宋体" w:eastAsia="宋体" w:hAnsi="宋体" w:cs="Times New Roman" w:hint="eastAsia"/>
          <w:b/>
          <w:sz w:val="44"/>
          <w:szCs w:val="44"/>
        </w:rPr>
        <w:t>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526"/>
        <w:gridCol w:w="851"/>
        <w:gridCol w:w="1134"/>
        <w:gridCol w:w="2834"/>
        <w:gridCol w:w="3259"/>
      </w:tblGrid>
      <w:tr w:rsidR="00936422" w:rsidRPr="00936422" w:rsidTr="00682093">
        <w:trPr>
          <w:trHeight w:val="398"/>
          <w:jc w:val="center"/>
        </w:trPr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22" w:rsidRPr="00936422" w:rsidRDefault="00936422" w:rsidP="00936422">
            <w:pPr>
              <w:topLinePunct/>
              <w:spacing w:line="260" w:lineRule="exact"/>
              <w:jc w:val="left"/>
              <w:rPr>
                <w:rFonts w:ascii="宋体" w:eastAsia="宋体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936422" w:rsidRPr="00936422" w:rsidTr="00682093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评价因素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评 价 标 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基准分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评价得分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加扣分缘由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936422">
              <w:rPr>
                <w:rFonts w:ascii="黑体" w:eastAsia="黑体" w:hAnsi="黑体" w:cs="Times New Roman" w:hint="eastAsia"/>
                <w:color w:val="000000"/>
                <w:szCs w:val="21"/>
              </w:rPr>
              <w:t>备注</w:t>
            </w:r>
          </w:p>
        </w:tc>
      </w:tr>
      <w:tr w:rsidR="00936422" w:rsidRPr="00936422" w:rsidTr="0068209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基准分（总分</w:t>
            </w:r>
            <w:r w:rsidRPr="00936422">
              <w:rPr>
                <w:rFonts w:ascii="Calibri" w:eastAsia="宋体" w:hAnsi="Calibri" w:cs="Times New Roman"/>
                <w:szCs w:val="21"/>
              </w:rPr>
              <w:t>100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36422" w:rsidRPr="00936422" w:rsidTr="00682093">
        <w:trPr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资信等级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具甲级综合资信或相应专业甲级资信</w:t>
            </w:r>
            <w:r w:rsidRPr="00936422">
              <w:rPr>
                <w:rFonts w:ascii="Calibri" w:eastAsia="宋体" w:hAnsi="Calibri" w:cs="Times New Roman"/>
                <w:szCs w:val="21"/>
              </w:rPr>
              <w:t>20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，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相应专业乙级资信</w:t>
            </w:r>
            <w:r w:rsidRPr="00936422">
              <w:rPr>
                <w:rFonts w:ascii="Calibri" w:eastAsia="宋体" w:hAnsi="Calibri" w:cs="Times New Roman"/>
                <w:szCs w:val="21"/>
              </w:rPr>
              <w:t>15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分，符合乙级预评价标准</w:t>
            </w:r>
            <w:r w:rsidRPr="00936422">
              <w:rPr>
                <w:rFonts w:ascii="Calibri" w:eastAsia="宋体" w:hAnsi="Calibri" w:cs="Times New Roman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提供资信评级有效证明材料。</w:t>
            </w:r>
          </w:p>
        </w:tc>
      </w:tr>
      <w:tr w:rsidR="00936422" w:rsidRPr="00936422" w:rsidTr="00682093">
        <w:trPr>
          <w:trHeight w:val="2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技术力量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left"/>
              <w:rPr>
                <w:rFonts w:ascii="Calibri" w:eastAsia="宋体" w:hAnsi="Calibri" w:cs="Times New Roman" w:hint="eastAsia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对项目组负责人具有咨询工程师（投资）职业资格或高级专业职称，技术负责人具有项目相应专业职业资格或高级职称，经济负责人具有造价（或经济）职业资格或高级职称。具备以上资格证书或职称每人得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分，本项最高得分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  <w:p w:rsidR="00936422" w:rsidRPr="00936422" w:rsidRDefault="00936422" w:rsidP="00936422">
            <w:pPr>
              <w:topLinePunct/>
              <w:spacing w:line="260" w:lineRule="exact"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2.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咨询服务单位提交专家人员数量、专业、技术职称和专家来源。规划、建筑、造价、环保等相关专家至少</w:t>
            </w:r>
            <w:r w:rsidRPr="00936422">
              <w:rPr>
                <w:rFonts w:ascii="Calibri" w:eastAsia="宋体" w:hAnsi="Calibri" w:cs="Times New Roman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人，具备正高级（或相当职称）以上的专家每人得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分，高级（或相当职称）专家每人得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分，本项最高得分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45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分；专家数量不足</w:t>
            </w:r>
            <w:r>
              <w:rPr>
                <w:rFonts w:ascii="Calibri" w:eastAsia="宋体" w:hAnsi="Calibri" w:cs="Times New Roman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szCs w:val="21"/>
              </w:rPr>
              <w:t>人本项不得分。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1.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核验职称或者资格证书原件或加盖单位公章复印件。</w:t>
            </w:r>
          </w:p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2.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如所需的专业专家与本条不符的，专业专家的提交体内容而定。</w:t>
            </w:r>
          </w:p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3.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每一专业的专家人数至少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人，多于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人的，按职称高低排序只计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人得分。</w:t>
            </w:r>
          </w:p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4.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根据项目具体情况，确定项目主专业所需专家类别。</w:t>
            </w:r>
          </w:p>
        </w:tc>
      </w:tr>
      <w:tr w:rsidR="00936422" w:rsidRPr="00936422" w:rsidTr="00682093">
        <w:trPr>
          <w:trHeight w:val="1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投标报价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评审的响应文件所有报价取平均值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以报价与平均值的偏差率进行排名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偏差率绝对值由小到大排序，最小得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由小到大每增加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个名次扣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分，依次递减，扣完为止。偏差率绝对值相同时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以报价低者排名优先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报价也相同的由专家抽签决定排名。超过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家报价的，去掉最高分和最低分后取平均值。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pacing w:val="-6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pacing w:val="-6"/>
                <w:szCs w:val="21"/>
              </w:rPr>
              <w:t>按照报价评分规则得分排序。</w:t>
            </w:r>
          </w:p>
        </w:tc>
      </w:tr>
      <w:tr w:rsidR="00936422" w:rsidRPr="00936422" w:rsidTr="00682093">
        <w:trPr>
          <w:trHeight w:hRule="exact" w:val="7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工作</w:t>
            </w:r>
          </w:p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szCs w:val="21"/>
              </w:rPr>
            </w:pPr>
            <w:r w:rsidRPr="00936422">
              <w:rPr>
                <w:rFonts w:ascii="Calibri" w:eastAsia="宋体" w:hAnsi="Calibri" w:cs="Times New Roman"/>
                <w:szCs w:val="21"/>
              </w:rPr>
              <w:t>方案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本项目的咨询评估工作方案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由专家评分。</w:t>
            </w:r>
          </w:p>
        </w:tc>
      </w:tr>
      <w:tr w:rsidR="00936422" w:rsidRPr="00936422" w:rsidTr="00682093">
        <w:trPr>
          <w:trHeight w:hRule="exact"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szCs w:val="21"/>
              </w:rPr>
              <w:t>奖励加分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36422">
              <w:rPr>
                <w:rFonts w:ascii="Calibri" w:eastAsia="宋体" w:hAnsi="Calibri" w:cs="Times New Roman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</w:tr>
      <w:tr w:rsidR="00936422" w:rsidRPr="00936422" w:rsidTr="00682093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信用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曾参与省发展改革委咨询评估服务活动，事后省发展改革委对其成果后评价为优秀的，加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2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分。本项最高得分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省发展改革委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工</w:t>
            </w: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程咨询评估</w:t>
            </w: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“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“</w:t>
            </w: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短名单</w:t>
            </w: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”</w:t>
            </w: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信用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库。</w:t>
            </w:r>
          </w:p>
        </w:tc>
      </w:tr>
      <w:tr w:rsidR="00936422" w:rsidRPr="00936422" w:rsidTr="00682093">
        <w:trPr>
          <w:trHeight w:val="11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①国家行业标准参与制订者或列入国家部委专家库专家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每名加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;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②具备一级及以上国家注册类职业资格证书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且注册在投标单位的专家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每名加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分。本项最高得分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注册专家</w:t>
            </w: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类别要与本项目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相关。</w:t>
            </w:r>
          </w:p>
        </w:tc>
      </w:tr>
      <w:tr w:rsidR="00936422" w:rsidRPr="00936422" w:rsidTr="00682093">
        <w:trPr>
          <w:trHeight w:hRule="exact" w:val="29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评估业绩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①近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3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年作为主要参与人参与类似行业、相当规模（海南师范大学桂林洋校区二期学生公寓（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18#-23#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）及配套三期学生食堂项目）以上省级重大项目评估，每项目加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5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分。②近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3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年作为主要参与人参与类似行业、相当规模（海南经贸职业技术学院留学生教育综合楼项目）项目评估，每项加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3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分。本项最高得分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40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。</w:t>
            </w:r>
          </w:p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参与评估业绩奖励加分的人员有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:</w:t>
            </w: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</w:tc>
      </w:tr>
      <w:tr w:rsidR="00936422" w:rsidRPr="00936422" w:rsidTr="00682093">
        <w:trPr>
          <w:trHeight w:hRule="exact" w:val="43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936422">
              <w:rPr>
                <w:rFonts w:ascii="Calibri" w:eastAsia="宋体" w:hAnsi="Calibri" w:cs="Times New Roman" w:hint="eastAsia"/>
                <w:color w:val="000000"/>
                <w:szCs w:val="21"/>
              </w:rPr>
              <w:t>总得分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22" w:rsidRPr="00936422" w:rsidRDefault="00936422" w:rsidP="00936422">
            <w:pPr>
              <w:topLinePunct/>
              <w:spacing w:line="26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</w:p>
        </w:tc>
      </w:tr>
    </w:tbl>
    <w:p w:rsidR="00936422" w:rsidRPr="00936422" w:rsidRDefault="00936422" w:rsidP="00936422">
      <w:pPr>
        <w:rPr>
          <w:rFonts w:ascii="仿宋_GB2312" w:eastAsia="仿宋_GB2312" w:hAnsi="仿宋" w:cs="仿宋_GB2312" w:hint="eastAsia"/>
          <w:sz w:val="32"/>
          <w:szCs w:val="32"/>
        </w:rPr>
      </w:pPr>
    </w:p>
    <w:p w:rsidR="00936422" w:rsidRPr="00936422" w:rsidRDefault="00936422" w:rsidP="00936422">
      <w:pPr>
        <w:jc w:val="left"/>
        <w:rPr>
          <w:rFonts w:ascii="Calibri" w:eastAsia="宋体" w:hAnsi="Calibri" w:cs="Times New Roman" w:hint="eastAsia"/>
        </w:rPr>
      </w:pPr>
    </w:p>
    <w:p w:rsidR="00936422" w:rsidRPr="00936422" w:rsidRDefault="00936422" w:rsidP="00936422">
      <w:pPr>
        <w:rPr>
          <w:rFonts w:ascii="Calibri" w:eastAsia="宋体" w:hAnsi="Calibri" w:cs="Times New Roman"/>
        </w:rPr>
      </w:pPr>
    </w:p>
    <w:p w:rsidR="00936422" w:rsidRPr="00936422" w:rsidRDefault="00936422" w:rsidP="00936422">
      <w:pPr>
        <w:rPr>
          <w:rFonts w:ascii="Calibri" w:eastAsia="宋体" w:hAnsi="Calibri" w:cs="Times New Roman" w:hint="eastAsia"/>
        </w:rPr>
      </w:pPr>
    </w:p>
    <w:sectPr w:rsidR="00936422" w:rsidRPr="0093642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5C" w:rsidRDefault="0050735C" w:rsidP="00936422">
      <w:r>
        <w:separator/>
      </w:r>
    </w:p>
  </w:endnote>
  <w:endnote w:type="continuationSeparator" w:id="0">
    <w:p w:rsidR="0050735C" w:rsidRDefault="0050735C" w:rsidP="0093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5C" w:rsidRDefault="0050735C" w:rsidP="00936422">
      <w:r>
        <w:separator/>
      </w:r>
    </w:p>
  </w:footnote>
  <w:footnote w:type="continuationSeparator" w:id="0">
    <w:p w:rsidR="0050735C" w:rsidRDefault="0050735C" w:rsidP="0093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3F"/>
    <w:rsid w:val="00093B3F"/>
    <w:rsid w:val="0050735C"/>
    <w:rsid w:val="00532147"/>
    <w:rsid w:val="005E4494"/>
    <w:rsid w:val="00631310"/>
    <w:rsid w:val="007B3025"/>
    <w:rsid w:val="00936422"/>
    <w:rsid w:val="009C119C"/>
    <w:rsid w:val="00E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A24B9-AE4A-46C5-918E-E5DD6183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社会处</dc:creator>
  <cp:keywords/>
  <dc:description/>
  <cp:lastModifiedBy>社会处</cp:lastModifiedBy>
  <cp:revision>2</cp:revision>
  <dcterms:created xsi:type="dcterms:W3CDTF">2020-12-16T07:39:00Z</dcterms:created>
  <dcterms:modified xsi:type="dcterms:W3CDTF">2020-12-16T07:42:00Z</dcterms:modified>
</cp:coreProperties>
</file>