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44"/>
          <w:szCs w:val="44"/>
        </w:rPr>
      </w:pPr>
      <w:bookmarkStart w:id="0" w:name="_GoBack"/>
      <w:r>
        <w:rPr>
          <w:rFonts w:hint="eastAsia"/>
          <w:b/>
          <w:bCs/>
          <w:sz w:val="44"/>
          <w:szCs w:val="44"/>
          <w:lang w:eastAsia="zh-CN"/>
        </w:rPr>
        <w:t>海南省</w:t>
      </w:r>
      <w:r>
        <w:rPr>
          <w:rFonts w:hint="eastAsia"/>
          <w:b/>
          <w:bCs/>
          <w:sz w:val="44"/>
          <w:szCs w:val="44"/>
        </w:rPr>
        <w:t>城镇供水定价成本监审实施细则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（征求意见稿）</w:t>
      </w:r>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提高城镇供水定价的科学性、合理性，加强城镇供水成本监管，规范城镇供水定价成本监审行为，根据《政府制定价格成本监审办法》(国家发展改革委2017年第8号令)《城镇供水定价成本监审办法》(国家发展改革委 住房和城乡建设部2021年45号令)</w:t>
      </w:r>
      <w:r>
        <w:rPr>
          <w:rFonts w:hint="eastAsia" w:ascii="仿宋" w:hAnsi="仿宋" w:eastAsia="仿宋" w:cs="仿宋"/>
          <w:sz w:val="32"/>
          <w:szCs w:val="32"/>
          <w:lang w:eastAsia="zh-CN"/>
        </w:rPr>
        <w:t>《海南省城乡供水管理条例》</w:t>
      </w:r>
      <w:r>
        <w:rPr>
          <w:rFonts w:hint="eastAsia" w:ascii="仿宋" w:hAnsi="仿宋" w:eastAsia="仿宋" w:cs="仿宋"/>
          <w:sz w:val="32"/>
          <w:szCs w:val="32"/>
        </w:rPr>
        <w:t>等有关法律法规规定，结合</w:t>
      </w:r>
      <w:r>
        <w:rPr>
          <w:rFonts w:hint="eastAsia" w:ascii="仿宋" w:hAnsi="仿宋" w:eastAsia="仿宋" w:cs="仿宋"/>
          <w:sz w:val="32"/>
          <w:szCs w:val="32"/>
          <w:lang w:eastAsia="zh-CN"/>
        </w:rPr>
        <w:t>我省</w:t>
      </w:r>
      <w:r>
        <w:rPr>
          <w:rFonts w:hint="eastAsia" w:ascii="仿宋" w:hAnsi="仿宋" w:eastAsia="仿宋" w:cs="仿宋"/>
          <w:sz w:val="32"/>
          <w:szCs w:val="32"/>
        </w:rPr>
        <w:t>实际，制定本细则。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本细则适用于</w:t>
      </w:r>
      <w:r>
        <w:rPr>
          <w:rFonts w:eastAsia="仿宋"/>
          <w:kern w:val="0"/>
          <w:sz w:val="32"/>
          <w:szCs w:val="32"/>
        </w:rPr>
        <w:t>本省行政区域内</w:t>
      </w:r>
      <w:r>
        <w:rPr>
          <w:rFonts w:hint="eastAsia" w:ascii="仿宋" w:hAnsi="仿宋" w:eastAsia="仿宋" w:cs="仿宋"/>
          <w:sz w:val="32"/>
          <w:szCs w:val="32"/>
        </w:rPr>
        <w:t>组织实施城镇供水价格制定或者调整过程中的成本监审行为。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本细则</w:t>
      </w:r>
      <w:r>
        <w:rPr>
          <w:rFonts w:hint="eastAsia" w:ascii="仿宋" w:hAnsi="仿宋" w:eastAsia="仿宋" w:cs="仿宋"/>
          <w:sz w:val="32"/>
          <w:szCs w:val="32"/>
          <w:lang w:eastAsia="zh-CN"/>
        </w:rPr>
        <w:t>所称</w:t>
      </w:r>
      <w:r>
        <w:rPr>
          <w:rFonts w:hint="eastAsia" w:ascii="仿宋" w:hAnsi="仿宋" w:eastAsia="仿宋" w:cs="仿宋"/>
          <w:sz w:val="32"/>
          <w:szCs w:val="32"/>
        </w:rPr>
        <w:t>城镇供水是指城镇公共供水企业(以下简称供水企业)通过一定的工程设施，将地表水、地下水进行必要的净化、消毒处理、输送，使水质水压符合国家规定的标准后供给用户使用的水。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各市县</w:t>
      </w:r>
      <w:r>
        <w:rPr>
          <w:rFonts w:hint="eastAsia" w:ascii="仿宋" w:hAnsi="仿宋" w:eastAsia="仿宋" w:cs="仿宋"/>
          <w:sz w:val="32"/>
          <w:szCs w:val="32"/>
        </w:rPr>
        <w:t>政府价格主管部门</w:t>
      </w:r>
      <w:r>
        <w:rPr>
          <w:rFonts w:hint="eastAsia" w:ascii="仿宋" w:hAnsi="仿宋" w:eastAsia="仿宋" w:cs="仿宋"/>
          <w:sz w:val="32"/>
          <w:szCs w:val="32"/>
          <w:lang w:eastAsia="zh-CN"/>
        </w:rPr>
        <w:t>或行政审批部门</w:t>
      </w:r>
      <w:r>
        <w:rPr>
          <w:rFonts w:hint="eastAsia" w:ascii="仿宋" w:hAnsi="仿宋" w:eastAsia="仿宋" w:cs="仿宋"/>
          <w:sz w:val="32"/>
          <w:szCs w:val="32"/>
        </w:rPr>
        <w:t>负责组织实施本级价格管理权限内的城镇供水定价成本监审，履行主体责任，对成本监审结论负责。</w:t>
      </w:r>
      <w:r>
        <w:rPr>
          <w:rFonts w:hint="eastAsia" w:ascii="仿宋" w:hAnsi="仿宋" w:eastAsia="仿宋" w:cs="仿宋"/>
          <w:sz w:val="32"/>
          <w:szCs w:val="32"/>
          <w:lang w:eastAsia="zh-CN"/>
        </w:rPr>
        <w:t>同级</w:t>
      </w:r>
      <w:r>
        <w:rPr>
          <w:rFonts w:hint="eastAsia" w:ascii="仿宋" w:hAnsi="仿宋" w:eastAsia="仿宋" w:cs="仿宋"/>
          <w:sz w:val="32"/>
          <w:szCs w:val="32"/>
        </w:rPr>
        <w:t>城镇供水行政主管部门应当配合做好成本监审工作。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城镇供水定价成本监审应当遵循下列原则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合法性。计入城镇供水定价成本的各项费用，应当符合《中华人民共和国会计法》等有关法律、法规和财务会计制度</w:t>
      </w:r>
      <w:r>
        <w:rPr>
          <w:rFonts w:hint="eastAsia" w:ascii="仿宋" w:hAnsi="仿宋" w:eastAsia="仿宋" w:cs="仿宋"/>
          <w:sz w:val="32"/>
          <w:szCs w:val="32"/>
          <w:lang w:eastAsia="zh-CN"/>
        </w:rPr>
        <w:t>、</w:t>
      </w:r>
      <w:r>
        <w:rPr>
          <w:rFonts w:hint="eastAsia" w:ascii="仿宋" w:hAnsi="仿宋" w:eastAsia="仿宋" w:cs="仿宋"/>
          <w:sz w:val="32"/>
          <w:szCs w:val="32"/>
        </w:rPr>
        <w:t>价格监管制度的规定。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相关性。计入城镇供水定价成本的各项费用，应当与城镇供水生产经营活动直接或间接相关。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合理性。计入城镇供水定价成本的各项费用，应当反映城镇供水生产经营活动正常需要，</w:t>
      </w:r>
      <w:r>
        <w:rPr>
          <w:rFonts w:hint="eastAsia" w:ascii="仿宋" w:hAnsi="仿宋" w:eastAsia="仿宋" w:cs="仿宋"/>
          <w:sz w:val="32"/>
          <w:szCs w:val="32"/>
          <w:lang w:eastAsia="zh-CN"/>
        </w:rPr>
        <w:t>并按照合理方法和合理标准核算。影响城镇供水定价成本水平的</w:t>
      </w:r>
      <w:r>
        <w:rPr>
          <w:rFonts w:hint="eastAsia" w:ascii="仿宋" w:hAnsi="仿宋" w:eastAsia="仿宋" w:cs="仿宋"/>
          <w:sz w:val="32"/>
          <w:szCs w:val="32"/>
        </w:rPr>
        <w:t>主要技术、经济指标，应当符合国家标准、行业标准、地方标准，没有国家标准、行业标准、地方标准的，应当符合社会公允水平。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供水企业应当按照城镇供水价格成本监管要求，建立健全成本核算制度，完整准确记录、单独核算城镇供水服务的经营成本和收入。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核定城镇供水定价成本，应当以经会计师事务所</w:t>
      </w:r>
      <w:r>
        <w:rPr>
          <w:rFonts w:hint="eastAsia" w:ascii="仿宋" w:hAnsi="仿宋" w:eastAsia="仿宋" w:cs="仿宋"/>
          <w:sz w:val="32"/>
          <w:szCs w:val="32"/>
          <w:lang w:eastAsia="zh-CN"/>
        </w:rPr>
        <w:t>或审计、税务等部门</w:t>
      </w:r>
      <w:r>
        <w:rPr>
          <w:rFonts w:hint="eastAsia" w:ascii="仿宋" w:hAnsi="仿宋" w:eastAsia="仿宋" w:cs="仿宋"/>
          <w:sz w:val="32"/>
          <w:szCs w:val="32"/>
        </w:rPr>
        <w:t>审计</w:t>
      </w:r>
      <w:r>
        <w:rPr>
          <w:rFonts w:hint="eastAsia" w:ascii="仿宋" w:hAnsi="仿宋" w:eastAsia="仿宋" w:cs="仿宋"/>
          <w:sz w:val="32"/>
          <w:szCs w:val="32"/>
          <w:lang w:eastAsia="zh-CN"/>
        </w:rPr>
        <w:t>（</w:t>
      </w:r>
      <w:r>
        <w:rPr>
          <w:rFonts w:hint="eastAsia" w:ascii="仿宋" w:hAnsi="仿宋" w:eastAsia="仿宋" w:cs="仿宋"/>
          <w:sz w:val="32"/>
          <w:szCs w:val="32"/>
        </w:rPr>
        <w:t>审核</w:t>
      </w:r>
      <w:r>
        <w:rPr>
          <w:rFonts w:hint="eastAsia" w:ascii="仿宋" w:hAnsi="仿宋" w:eastAsia="仿宋" w:cs="仿宋"/>
          <w:sz w:val="32"/>
          <w:szCs w:val="32"/>
          <w:lang w:eastAsia="zh-CN"/>
        </w:rPr>
        <w:t>）</w:t>
      </w:r>
      <w:r>
        <w:rPr>
          <w:rFonts w:hint="eastAsia" w:ascii="仿宋" w:hAnsi="仿宋" w:eastAsia="仿宋" w:cs="仿宋"/>
          <w:sz w:val="32"/>
          <w:szCs w:val="32"/>
        </w:rPr>
        <w:t>的监审期间年度财务报告，完整真实的会计凭证、账簿，</w:t>
      </w:r>
      <w:r>
        <w:rPr>
          <w:rFonts w:hint="eastAsia" w:ascii="仿宋" w:hAnsi="仿宋" w:eastAsia="仿宋" w:cs="仿宋"/>
          <w:sz w:val="32"/>
          <w:szCs w:val="32"/>
          <w:lang w:eastAsia="zh-CN"/>
        </w:rPr>
        <w:t>城镇供水生产运行、政府核准文件等相关材料，以及供水企业提</w:t>
      </w:r>
      <w:r>
        <w:rPr>
          <w:rFonts w:hint="eastAsia" w:ascii="仿宋" w:hAnsi="仿宋" w:eastAsia="仿宋" w:cs="仿宋"/>
          <w:sz w:val="32"/>
          <w:szCs w:val="32"/>
        </w:rPr>
        <w:t>供的真实</w:t>
      </w:r>
      <w:r>
        <w:rPr>
          <w:rFonts w:hint="eastAsia" w:ascii="仿宋" w:hAnsi="仿宋" w:eastAsia="仿宋" w:cs="仿宋"/>
          <w:sz w:val="32"/>
          <w:szCs w:val="32"/>
          <w:lang w:eastAsia="zh-CN"/>
        </w:rPr>
        <w:t>、</w:t>
      </w:r>
      <w:r>
        <w:rPr>
          <w:rFonts w:hint="eastAsia" w:ascii="仿宋" w:hAnsi="仿宋" w:eastAsia="仿宋" w:cs="仿宋"/>
          <w:sz w:val="32"/>
          <w:szCs w:val="32"/>
        </w:rPr>
        <w:t>完整</w:t>
      </w:r>
      <w:r>
        <w:rPr>
          <w:rFonts w:hint="eastAsia" w:ascii="仿宋" w:hAnsi="仿宋" w:eastAsia="仿宋" w:cs="仿宋"/>
          <w:sz w:val="32"/>
          <w:szCs w:val="32"/>
          <w:lang w:eastAsia="zh-CN"/>
        </w:rPr>
        <w:t>、</w:t>
      </w:r>
      <w:r>
        <w:rPr>
          <w:rFonts w:hint="eastAsia" w:ascii="仿宋" w:hAnsi="仿宋" w:eastAsia="仿宋" w:cs="仿宋"/>
          <w:sz w:val="32"/>
          <w:szCs w:val="32"/>
        </w:rPr>
        <w:t>有效的其他成本相关资料为基础</w:t>
      </w:r>
      <w:r>
        <w:rPr>
          <w:rFonts w:hint="eastAsia" w:ascii="仿宋" w:hAnsi="仿宋" w:eastAsia="仿宋" w:cs="仿宋"/>
          <w:sz w:val="32"/>
          <w:szCs w:val="32"/>
          <w:lang w:eastAsia="zh-CN"/>
        </w:rPr>
        <w:t>（</w:t>
      </w:r>
      <w:r>
        <w:rPr>
          <w:rFonts w:hint="eastAsia" w:ascii="仿宋" w:hAnsi="仿宋" w:eastAsia="仿宋" w:cs="仿宋"/>
          <w:sz w:val="32"/>
          <w:szCs w:val="32"/>
        </w:rPr>
        <w:t>详见附件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供水企业未正式营业或营业不满一个会计年度的，不予实施成本监审。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政府价格主管部门</w:t>
      </w:r>
      <w:r>
        <w:rPr>
          <w:rFonts w:hint="eastAsia" w:ascii="仿宋" w:hAnsi="仿宋" w:eastAsia="仿宋" w:cs="仿宋"/>
          <w:sz w:val="32"/>
          <w:szCs w:val="32"/>
          <w:lang w:eastAsia="zh-CN"/>
        </w:rPr>
        <w:t>或行政审批部门</w:t>
      </w:r>
      <w:r>
        <w:rPr>
          <w:rFonts w:hint="eastAsia" w:ascii="仿宋" w:hAnsi="仿宋" w:eastAsia="仿宋" w:cs="仿宋"/>
          <w:sz w:val="32"/>
          <w:szCs w:val="32"/>
        </w:rPr>
        <w:t>原则上对</w:t>
      </w:r>
      <w:r>
        <w:rPr>
          <w:rFonts w:ascii="仿宋" w:hAnsi="仿宋" w:eastAsia="仿宋"/>
          <w:sz w:val="32"/>
          <w:szCs w:val="32"/>
        </w:rPr>
        <w:t>在同一市场区域</w:t>
      </w:r>
      <w:r>
        <w:rPr>
          <w:rFonts w:hint="eastAsia" w:ascii="仿宋" w:hAnsi="仿宋" w:eastAsia="仿宋" w:cs="仿宋"/>
          <w:sz w:val="32"/>
          <w:szCs w:val="32"/>
        </w:rPr>
        <w:t>内所有供水企业实施成本监审，供水企业较多的，可以选取一定数量的有代表性的供水企业实施成本监审。</w:t>
      </w:r>
    </w:p>
    <w:p>
      <w:pPr>
        <w:spacing w:line="640" w:lineRule="exact"/>
        <w:ind w:firstLine="640" w:firstLineChars="200"/>
        <w:rPr>
          <w:rFonts w:ascii="仿宋" w:hAnsi="仿宋" w:eastAsia="仿宋"/>
          <w:sz w:val="32"/>
          <w:szCs w:val="32"/>
        </w:rPr>
      </w:pPr>
      <w:r>
        <w:rPr>
          <w:rFonts w:ascii="仿宋" w:hAnsi="仿宋" w:eastAsia="仿宋"/>
          <w:sz w:val="32"/>
          <w:szCs w:val="32"/>
        </w:rPr>
        <w:t>在同一市场区域内只有一</w:t>
      </w:r>
      <w:r>
        <w:rPr>
          <w:rFonts w:hint="eastAsia" w:ascii="仿宋" w:hAnsi="仿宋" w:eastAsia="仿宋"/>
          <w:sz w:val="32"/>
          <w:szCs w:val="32"/>
          <w:lang w:eastAsia="zh-CN"/>
        </w:rPr>
        <w:t>家供水企业</w:t>
      </w:r>
      <w:r>
        <w:rPr>
          <w:rFonts w:ascii="仿宋" w:hAnsi="仿宋" w:eastAsia="仿宋"/>
          <w:sz w:val="32"/>
          <w:szCs w:val="32"/>
        </w:rPr>
        <w:t>的,应当在调查、核实该</w:t>
      </w:r>
      <w:r>
        <w:rPr>
          <w:rFonts w:hint="eastAsia" w:ascii="仿宋" w:hAnsi="仿宋" w:eastAsia="仿宋"/>
          <w:sz w:val="32"/>
          <w:szCs w:val="32"/>
          <w:lang w:eastAsia="zh-CN"/>
        </w:rPr>
        <w:t>供水企业</w:t>
      </w:r>
      <w:r>
        <w:rPr>
          <w:rFonts w:ascii="仿宋" w:hAnsi="仿宋" w:eastAsia="仿宋"/>
          <w:sz w:val="32"/>
          <w:szCs w:val="32"/>
        </w:rPr>
        <w:t>成本的基础上，进行审核、调整并核定定价成本。</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定价成本</w:t>
      </w:r>
      <w:r>
        <w:rPr>
          <w:rFonts w:hint="eastAsia" w:ascii="黑体" w:hAnsi="黑体" w:eastAsia="黑体" w:cs="黑体"/>
          <w:sz w:val="32"/>
          <w:szCs w:val="32"/>
        </w:rPr>
        <w:t>和有效资产核定</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城镇供水定价成本包括固定资产折旧费、无形资产摊销和运行维护费。</w:t>
      </w:r>
    </w:p>
    <w:p>
      <w:pPr>
        <w:widowControl/>
        <w:spacing w:line="480" w:lineRule="auto"/>
        <w:ind w:firstLine="636" w:firstLineChars="199"/>
        <w:rPr>
          <w:rFonts w:ascii="Times New Roman" w:hAnsi="Times New Roman" w:eastAsia="仿宋" w:cs="Times New Roman"/>
          <w:kern w:val="0"/>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固定资产折旧费</w:t>
      </w:r>
      <w:r>
        <w:rPr>
          <w:rFonts w:hint="eastAsia" w:ascii="仿宋" w:hAnsi="仿宋" w:eastAsia="仿宋" w:cs="仿宋"/>
          <w:sz w:val="32"/>
          <w:szCs w:val="32"/>
          <w:lang w:eastAsia="zh-CN"/>
        </w:rPr>
        <w:t>，是指与供水业务相关的固定资产按照本细则规定</w:t>
      </w:r>
      <w:r>
        <w:rPr>
          <w:rFonts w:hint="eastAsia" w:ascii="仿宋" w:hAnsi="仿宋" w:eastAsia="仿宋" w:cs="仿宋"/>
          <w:sz w:val="32"/>
          <w:szCs w:val="32"/>
          <w:lang w:val="en-US" w:eastAsia="zh-CN"/>
        </w:rPr>
        <w:t>的折旧方法和年限计提的费用</w:t>
      </w:r>
      <w:r>
        <w:rPr>
          <w:rFonts w:hint="eastAsia" w:ascii="仿宋" w:hAnsi="仿宋" w:eastAsia="仿宋" w:cs="仿宋"/>
          <w:sz w:val="32"/>
          <w:szCs w:val="32"/>
        </w:rPr>
        <w:t>。</w:t>
      </w:r>
      <w:r>
        <w:rPr>
          <w:rFonts w:ascii="Times New Roman" w:hAnsi="Times New Roman" w:eastAsia="仿宋" w:cs="Times New Roman"/>
          <w:kern w:val="0"/>
          <w:sz w:val="32"/>
          <w:szCs w:val="32"/>
        </w:rPr>
        <w:t>包括</w:t>
      </w:r>
      <w:r>
        <w:rPr>
          <w:rFonts w:hint="eastAsia" w:ascii="Times New Roman" w:hAnsi="Times New Roman" w:eastAsia="仿宋" w:cs="Times New Roman"/>
          <w:kern w:val="0"/>
          <w:sz w:val="32"/>
          <w:szCs w:val="32"/>
          <w:lang w:eastAsia="zh-CN"/>
        </w:rPr>
        <w:t>供水企业在</w:t>
      </w:r>
      <w:r>
        <w:rPr>
          <w:rFonts w:ascii="Times New Roman" w:hAnsi="Times New Roman" w:eastAsia="仿宋" w:cs="Times New Roman"/>
          <w:kern w:val="0"/>
          <w:sz w:val="32"/>
          <w:szCs w:val="32"/>
        </w:rPr>
        <w:t>生产、输配、管理和销售过程中所涉及到的房屋构筑物、储备设备、管网、机器设备、运输设备、非生产用设备工具及其他固定资产的折旧额。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计入定价成本的折旧费，按照监审期间最末1年可计提折旧的固定资产原值和本细则规定的固定资产折旧年限和残值率，采用年限平均法分类核定。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固定资产原值原则上按历史成本核定。按规定进行过清产核资的，根据有关部门认定的资产价值核定。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下列资产不纳入核定范围</w:t>
      </w:r>
      <w:r>
        <w:rPr>
          <w:rFonts w:hint="eastAsia" w:ascii="仿宋" w:hAnsi="仿宋" w:eastAsia="仿宋" w:cs="仿宋"/>
          <w:sz w:val="32"/>
          <w:szCs w:val="32"/>
          <w:lang w:eastAsia="zh-CN"/>
        </w:rPr>
        <w:t>：</w:t>
      </w:r>
      <w:r>
        <w:rPr>
          <w:rFonts w:hint="eastAsia" w:ascii="仿宋" w:hAnsi="仿宋" w:eastAsia="仿宋" w:cs="仿宋"/>
          <w:sz w:val="32"/>
          <w:szCs w:val="32"/>
        </w:rPr>
        <w:t>政府补助和社会无偿投入的资产</w:t>
      </w:r>
      <w:r>
        <w:rPr>
          <w:rFonts w:hint="eastAsia" w:ascii="仿宋" w:hAnsi="仿宋" w:eastAsia="仿宋" w:cs="仿宋"/>
          <w:sz w:val="32"/>
          <w:szCs w:val="32"/>
          <w:lang w:eastAsia="zh-CN"/>
        </w:rPr>
        <w:t>；</w:t>
      </w:r>
      <w:r>
        <w:rPr>
          <w:rFonts w:hint="eastAsia" w:ascii="仿宋" w:hAnsi="仿宋" w:eastAsia="仿宋" w:cs="仿宋"/>
          <w:sz w:val="32"/>
          <w:szCs w:val="32"/>
        </w:rPr>
        <w:t>无偿接受的资产</w:t>
      </w:r>
      <w:r>
        <w:rPr>
          <w:rFonts w:hint="eastAsia" w:ascii="仿宋" w:hAnsi="仿宋" w:eastAsia="仿宋" w:cs="仿宋"/>
          <w:sz w:val="32"/>
          <w:szCs w:val="32"/>
          <w:lang w:eastAsia="zh-CN"/>
        </w:rPr>
        <w:t>；</w:t>
      </w:r>
      <w:r>
        <w:rPr>
          <w:rFonts w:hint="eastAsia" w:ascii="仿宋" w:hAnsi="仿宋" w:eastAsia="仿宋" w:cs="仿宋"/>
          <w:sz w:val="32"/>
          <w:szCs w:val="32"/>
        </w:rPr>
        <w:t>未投入实际使用的</w:t>
      </w:r>
      <w:r>
        <w:rPr>
          <w:rFonts w:hint="eastAsia" w:ascii="仿宋" w:hAnsi="仿宋" w:eastAsia="仿宋" w:cs="仿宋"/>
          <w:sz w:val="32"/>
          <w:szCs w:val="32"/>
          <w:lang w:eastAsia="zh-CN"/>
        </w:rPr>
        <w:t>资产；</w:t>
      </w:r>
      <w:r>
        <w:rPr>
          <w:rFonts w:hint="eastAsia" w:ascii="仿宋" w:hAnsi="仿宋" w:eastAsia="仿宋" w:cs="仿宋"/>
          <w:sz w:val="32"/>
          <w:szCs w:val="32"/>
        </w:rPr>
        <w:t>建筑区划内业主共有和专有资产</w:t>
      </w:r>
      <w:r>
        <w:rPr>
          <w:rFonts w:hint="eastAsia" w:ascii="仿宋" w:hAnsi="仿宋" w:eastAsia="仿宋" w:cs="仿宋"/>
          <w:sz w:val="32"/>
          <w:szCs w:val="32"/>
          <w:lang w:eastAsia="zh-CN"/>
        </w:rPr>
        <w:t>；</w:t>
      </w:r>
      <w:r>
        <w:rPr>
          <w:rFonts w:hint="eastAsia" w:ascii="仿宋" w:hAnsi="仿宋" w:eastAsia="仿宋" w:cs="仿宋"/>
          <w:sz w:val="32"/>
          <w:szCs w:val="32"/>
        </w:rPr>
        <w:t>向用户收取费用形成的资产</w:t>
      </w:r>
      <w:r>
        <w:rPr>
          <w:rFonts w:hint="eastAsia" w:ascii="仿宋" w:hAnsi="仿宋" w:eastAsia="仿宋" w:cs="仿宋"/>
          <w:sz w:val="32"/>
          <w:szCs w:val="32"/>
          <w:lang w:eastAsia="zh-CN"/>
        </w:rPr>
        <w:t>；</w:t>
      </w:r>
      <w:r>
        <w:rPr>
          <w:rFonts w:hint="eastAsia" w:ascii="仿宋" w:hAnsi="仿宋" w:eastAsia="仿宋" w:cs="仿宋"/>
          <w:sz w:val="32"/>
          <w:szCs w:val="32"/>
        </w:rPr>
        <w:t>已</w:t>
      </w:r>
      <w:r>
        <w:rPr>
          <w:rFonts w:hint="eastAsia" w:ascii="仿宋" w:hAnsi="仿宋" w:eastAsia="仿宋" w:cs="仿宋"/>
          <w:sz w:val="32"/>
          <w:szCs w:val="32"/>
          <w:lang w:eastAsia="zh-CN"/>
        </w:rPr>
        <w:t>计</w:t>
      </w:r>
      <w:r>
        <w:rPr>
          <w:rFonts w:hint="eastAsia" w:ascii="仿宋" w:hAnsi="仿宋" w:eastAsia="仿宋" w:cs="仿宋"/>
          <w:sz w:val="32"/>
          <w:szCs w:val="32"/>
        </w:rPr>
        <w:t>提</w:t>
      </w:r>
      <w:r>
        <w:rPr>
          <w:rFonts w:hint="eastAsia" w:ascii="仿宋" w:hAnsi="仿宋" w:eastAsia="仿宋" w:cs="仿宋"/>
          <w:sz w:val="32"/>
          <w:szCs w:val="32"/>
          <w:lang w:eastAsia="zh-CN"/>
        </w:rPr>
        <w:t>完</w:t>
      </w:r>
      <w:r>
        <w:rPr>
          <w:rFonts w:hint="eastAsia" w:ascii="仿宋" w:hAnsi="仿宋" w:eastAsia="仿宋" w:cs="仿宋"/>
          <w:sz w:val="32"/>
          <w:szCs w:val="32"/>
        </w:rPr>
        <w:t>折旧仍继续使用的资产以及评估增值</w:t>
      </w:r>
      <w:r>
        <w:rPr>
          <w:rFonts w:hint="eastAsia" w:ascii="仿宋" w:hAnsi="仿宋" w:eastAsia="仿宋" w:cs="仿宋"/>
          <w:sz w:val="32"/>
          <w:szCs w:val="32"/>
          <w:lang w:eastAsia="zh-CN"/>
        </w:rPr>
        <w:t>的</w:t>
      </w:r>
      <w:r>
        <w:rPr>
          <w:rFonts w:hint="eastAsia" w:ascii="仿宋" w:hAnsi="仿宋" w:eastAsia="仿宋" w:cs="仿宋"/>
          <w:sz w:val="32"/>
          <w:szCs w:val="32"/>
        </w:rPr>
        <w:t>部分等。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固定资产折旧采用年限平均法。折旧年限根据固定资产的性质、设计使用年限和行业规范，并考虑资产使用状况合理核定</w:t>
      </w:r>
      <w:r>
        <w:rPr>
          <w:rFonts w:hint="eastAsia" w:ascii="仿宋" w:hAnsi="仿宋" w:eastAsia="仿宋" w:cs="仿宋"/>
          <w:sz w:val="32"/>
          <w:szCs w:val="32"/>
          <w:lang w:eastAsia="zh-CN"/>
        </w:rPr>
        <w:t>（</w:t>
      </w:r>
      <w:r>
        <w:rPr>
          <w:rFonts w:hint="eastAsia" w:ascii="仿宋" w:hAnsi="仿宋" w:eastAsia="仿宋" w:cs="仿宋"/>
          <w:sz w:val="32"/>
          <w:szCs w:val="32"/>
        </w:rPr>
        <w:t>详见附件2</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供水企业确定的固定资产实际折旧年限高于本细则规定的折旧年限，成本监</w:t>
      </w:r>
      <w:r>
        <w:rPr>
          <w:rFonts w:hint="eastAsia" w:ascii="仿宋" w:hAnsi="仿宋" w:eastAsia="仿宋" w:cs="仿宋"/>
          <w:sz w:val="32"/>
          <w:szCs w:val="32"/>
          <w:lang w:eastAsia="zh-CN"/>
        </w:rPr>
        <w:t>审</w:t>
      </w:r>
      <w:r>
        <w:rPr>
          <w:rFonts w:hint="eastAsia" w:ascii="仿宋" w:hAnsi="仿宋" w:eastAsia="仿宋" w:cs="仿宋"/>
          <w:sz w:val="32"/>
          <w:szCs w:val="32"/>
        </w:rPr>
        <w:t>时应当按照供水企业实际折旧年限核定</w:t>
      </w:r>
      <w:r>
        <w:rPr>
          <w:rFonts w:hint="eastAsia" w:ascii="仿宋" w:hAnsi="仿宋" w:eastAsia="仿宋" w:cs="仿宋"/>
          <w:sz w:val="32"/>
          <w:szCs w:val="32"/>
          <w:lang w:eastAsia="zh-CN"/>
        </w:rPr>
        <w:t>。</w:t>
      </w:r>
      <w:r>
        <w:rPr>
          <w:rFonts w:hint="eastAsia" w:ascii="仿宋" w:hAnsi="仿宋" w:eastAsia="仿宋" w:cs="仿宋"/>
          <w:sz w:val="32"/>
          <w:szCs w:val="32"/>
        </w:rPr>
        <w:t>不能回收的管道固定资产残值率按零核定，其他固定资产残值率一般按3-5%核定。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已投入使用但未经财政或国有资产管理部门认定或尚未办理竣工决算的固定资产</w:t>
      </w:r>
      <w:r>
        <w:rPr>
          <w:rFonts w:hint="eastAsia" w:ascii="仿宋" w:hAnsi="仿宋" w:eastAsia="仿宋" w:cs="仿宋"/>
          <w:sz w:val="32"/>
          <w:szCs w:val="32"/>
          <w:lang w:eastAsia="zh-CN"/>
        </w:rPr>
        <w:t>可按账面价值一定比例暂估入账并计提折旧。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无形资产摊销</w:t>
      </w:r>
      <w:r>
        <w:rPr>
          <w:rFonts w:hint="eastAsia" w:ascii="仿宋" w:hAnsi="仿宋" w:eastAsia="仿宋" w:cs="仿宋"/>
          <w:sz w:val="32"/>
          <w:szCs w:val="32"/>
          <w:lang w:eastAsia="zh-CN"/>
        </w:rPr>
        <w:t>，是指与供水业务相关的软件、土地使用权等无形资产原值在有效期内的摊销。</w:t>
      </w:r>
      <w:r>
        <w:rPr>
          <w:rFonts w:ascii="仿宋" w:hAnsi="仿宋" w:eastAsia="仿宋" w:cs="Times New Roman"/>
          <w:kern w:val="0"/>
          <w:sz w:val="32"/>
          <w:szCs w:val="32"/>
        </w:rPr>
        <w:t>包括专利权、商标权、著作权、土地使用权、非专利技术等无形资产的摊销</w:t>
      </w:r>
      <w:r>
        <w:rPr>
          <w:rFonts w:hint="eastAsia" w:ascii="仿宋" w:hAnsi="仿宋" w:eastAsia="仿宋" w:cs="仿宋"/>
          <w:sz w:val="32"/>
          <w:szCs w:val="32"/>
        </w:rPr>
        <w:t>。计入定价成本的无形资产摊销，按照监审期间最末1年核定的无形资产原值和规定的摊销年限，采用直线摊销法核定。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无形资产从开始使用之日起，在有效使用期限内</w:t>
      </w:r>
      <w:r>
        <w:rPr>
          <w:rFonts w:hint="eastAsia" w:ascii="仿宋" w:hAnsi="仿宋" w:eastAsia="仿宋" w:cs="仿宋"/>
          <w:sz w:val="32"/>
          <w:szCs w:val="32"/>
          <w:lang w:eastAsia="zh-CN"/>
        </w:rPr>
        <w:t>平</w:t>
      </w:r>
      <w:r>
        <w:rPr>
          <w:rFonts w:hint="eastAsia" w:ascii="仿宋" w:hAnsi="仿宋" w:eastAsia="仿宋" w:cs="仿宋"/>
          <w:sz w:val="32"/>
          <w:szCs w:val="32"/>
        </w:rPr>
        <w:t>摊计入</w:t>
      </w:r>
      <w:r>
        <w:rPr>
          <w:rFonts w:hint="eastAsia" w:ascii="仿宋" w:hAnsi="仿宋" w:eastAsia="仿宋" w:cs="仿宋"/>
          <w:sz w:val="32"/>
          <w:szCs w:val="32"/>
          <w:lang w:eastAsia="zh-CN"/>
        </w:rPr>
        <w:t>定价成本</w:t>
      </w:r>
      <w:r>
        <w:rPr>
          <w:rFonts w:hint="eastAsia" w:ascii="仿宋" w:hAnsi="仿宋" w:eastAsia="仿宋" w:cs="仿宋"/>
          <w:sz w:val="32"/>
          <w:szCs w:val="32"/>
        </w:rPr>
        <w:t>。其中，土地使用权费已计入地面建筑物价值且无法分离的，随建筑物提折旧</w:t>
      </w:r>
      <w:r>
        <w:rPr>
          <w:rFonts w:hint="eastAsia" w:ascii="仿宋" w:hAnsi="仿宋" w:eastAsia="仿宋" w:cs="仿宋"/>
          <w:sz w:val="32"/>
          <w:szCs w:val="32"/>
          <w:lang w:eastAsia="zh-CN"/>
        </w:rPr>
        <w:t>；</w:t>
      </w:r>
      <w:r>
        <w:rPr>
          <w:rFonts w:hint="eastAsia" w:ascii="仿宋" w:hAnsi="仿宋" w:eastAsia="仿宋" w:cs="仿宋"/>
          <w:sz w:val="32"/>
          <w:szCs w:val="32"/>
        </w:rPr>
        <w:t>其他按照土地使用权年限分摊。</w:t>
      </w:r>
      <w:r>
        <w:rPr>
          <w:rFonts w:hint="eastAsia" w:ascii="仿宋" w:hAnsi="仿宋" w:eastAsia="仿宋" w:cs="仿宋"/>
          <w:sz w:val="32"/>
          <w:szCs w:val="32"/>
          <w:lang w:eastAsia="zh-CN"/>
        </w:rPr>
        <w:t>特许经营权费用原则上不得计入定价成本，政府规定允许计入的，按照特许经营年限分摊，没有特许经营年限的按30年分摊。其他无形资产，有明确受益年限的按受益年限分摊，没有明确受益年限的按不少于10年分摊。评估增值部分不计入无形资产原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运行维护费。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原水费、外购成品水费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kern w:val="0"/>
          <w:sz w:val="32"/>
          <w:szCs w:val="32"/>
          <w:lang w:eastAsia="zh-CN"/>
        </w:rPr>
      </w:pPr>
      <w:r>
        <w:rPr>
          <w:rFonts w:ascii="Times New Roman" w:hAnsi="Times New Roman" w:eastAsia="仿宋" w:cs="Times New Roman"/>
          <w:kern w:val="0"/>
          <w:sz w:val="32"/>
          <w:szCs w:val="32"/>
        </w:rPr>
        <w:t>原水费</w:t>
      </w:r>
      <w:r>
        <w:rPr>
          <w:rFonts w:hint="eastAsia" w:ascii="Times New Roman" w:hAnsi="Times New Roman" w:eastAsia="仿宋" w:cs="Times New Roman"/>
          <w:kern w:val="0"/>
          <w:sz w:val="32"/>
          <w:szCs w:val="32"/>
          <w:lang w:eastAsia="zh-CN"/>
        </w:rPr>
        <w:t>是</w:t>
      </w:r>
      <w:r>
        <w:rPr>
          <w:rFonts w:ascii="Times New Roman" w:hAnsi="Times New Roman" w:eastAsia="仿宋" w:cs="Times New Roman"/>
          <w:kern w:val="0"/>
          <w:sz w:val="32"/>
          <w:szCs w:val="32"/>
        </w:rPr>
        <w:t>指</w:t>
      </w:r>
      <w:r>
        <w:rPr>
          <w:rFonts w:hint="eastAsia" w:ascii="Times New Roman" w:hAnsi="Times New Roman" w:eastAsia="仿宋" w:cs="Times New Roman"/>
          <w:kern w:val="0"/>
          <w:sz w:val="32"/>
          <w:szCs w:val="32"/>
          <w:lang w:eastAsia="zh-CN"/>
        </w:rPr>
        <w:t>供水企业</w:t>
      </w:r>
      <w:r>
        <w:rPr>
          <w:rFonts w:ascii="Times New Roman" w:hAnsi="Times New Roman" w:eastAsia="仿宋" w:cs="Times New Roman"/>
          <w:kern w:val="0"/>
          <w:sz w:val="32"/>
          <w:szCs w:val="32"/>
        </w:rPr>
        <w:t>为保障本区域供水服务购入原水的费用</w:t>
      </w:r>
      <w:r>
        <w:rPr>
          <w:rFonts w:hint="eastAsia" w:ascii="Times New Roman" w:hAnsi="Times New Roman" w:eastAsia="仿宋" w:cs="Times New Roman"/>
          <w:kern w:val="0"/>
          <w:sz w:val="32"/>
          <w:szCs w:val="32"/>
          <w:lang w:eastAsia="zh-CN"/>
        </w:rPr>
        <w:t>（含原水预处理费用）</w:t>
      </w:r>
      <w:r>
        <w:rPr>
          <w:rFonts w:ascii="Times New Roman" w:hAnsi="Times New Roman" w:eastAsia="仿宋" w:cs="Times New Roman"/>
          <w:kern w:val="0"/>
          <w:sz w:val="32"/>
          <w:szCs w:val="32"/>
        </w:rPr>
        <w:t>。</w:t>
      </w:r>
      <w:r>
        <w:rPr>
          <w:rFonts w:hint="eastAsia" w:ascii="仿宋" w:hAnsi="仿宋" w:eastAsia="仿宋" w:cs="仿宋"/>
          <w:sz w:val="32"/>
          <w:szCs w:val="32"/>
        </w:rPr>
        <w:t>外购成品水费</w:t>
      </w:r>
      <w:r>
        <w:rPr>
          <w:rFonts w:hint="eastAsia" w:ascii="仿宋" w:hAnsi="仿宋" w:eastAsia="仿宋" w:cs="仿宋"/>
          <w:sz w:val="32"/>
          <w:szCs w:val="32"/>
          <w:lang w:eastAsia="zh-CN"/>
        </w:rPr>
        <w:t>是</w:t>
      </w:r>
      <w:r>
        <w:rPr>
          <w:rFonts w:ascii="Times New Roman" w:hAnsi="Times New Roman" w:eastAsia="仿宋" w:cs="Times New Roman"/>
          <w:kern w:val="0"/>
          <w:sz w:val="32"/>
          <w:szCs w:val="32"/>
        </w:rPr>
        <w:t>指</w:t>
      </w:r>
      <w:r>
        <w:rPr>
          <w:rFonts w:hint="eastAsia" w:ascii="Times New Roman" w:hAnsi="Times New Roman" w:eastAsia="仿宋" w:cs="Times New Roman"/>
          <w:kern w:val="0"/>
          <w:sz w:val="32"/>
          <w:szCs w:val="32"/>
          <w:lang w:eastAsia="zh-CN"/>
        </w:rPr>
        <w:t>供水企业</w:t>
      </w:r>
      <w:r>
        <w:rPr>
          <w:rFonts w:ascii="Times New Roman" w:hAnsi="Times New Roman" w:eastAsia="仿宋" w:cs="Times New Roman"/>
          <w:kern w:val="0"/>
          <w:sz w:val="32"/>
          <w:szCs w:val="32"/>
        </w:rPr>
        <w:t>为保障本区域供水服务</w:t>
      </w:r>
      <w:r>
        <w:rPr>
          <w:rFonts w:hint="eastAsia" w:ascii="Times New Roman" w:hAnsi="Times New Roman" w:eastAsia="仿宋" w:cs="Times New Roman"/>
          <w:kern w:val="0"/>
          <w:sz w:val="32"/>
          <w:szCs w:val="32"/>
          <w:lang w:eastAsia="zh-CN"/>
        </w:rPr>
        <w:t>外</w:t>
      </w:r>
      <w:r>
        <w:rPr>
          <w:rFonts w:ascii="Times New Roman" w:hAnsi="Times New Roman" w:eastAsia="仿宋" w:cs="Times New Roman"/>
          <w:kern w:val="0"/>
          <w:sz w:val="32"/>
          <w:szCs w:val="32"/>
        </w:rPr>
        <w:t>购</w:t>
      </w:r>
      <w:r>
        <w:rPr>
          <w:rFonts w:hint="eastAsia" w:ascii="Times New Roman" w:hAnsi="Times New Roman" w:eastAsia="仿宋" w:cs="Times New Roman"/>
          <w:kern w:val="0"/>
          <w:sz w:val="32"/>
          <w:szCs w:val="32"/>
          <w:lang w:eastAsia="zh-CN"/>
        </w:rPr>
        <w:t>成品</w:t>
      </w:r>
      <w:r>
        <w:rPr>
          <w:rFonts w:ascii="Times New Roman" w:hAnsi="Times New Roman" w:eastAsia="仿宋" w:cs="Times New Roman"/>
          <w:kern w:val="0"/>
          <w:sz w:val="32"/>
          <w:szCs w:val="32"/>
        </w:rPr>
        <w:t>水的费用</w:t>
      </w:r>
      <w:r>
        <w:rPr>
          <w:rFonts w:hint="eastAsia" w:ascii="Times New Roman" w:hAnsi="Times New Roman" w:eastAsia="仿宋"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原水费、外购成品水费原则上按监审期间最末1年实际发生费用核定。必要时，可以对提供成品水的独立制水公司进行成本调查。</w:t>
      </w:r>
    </w:p>
    <w:p>
      <w:pPr>
        <w:widowControl/>
        <w:numPr>
          <w:ilvl w:val="-1"/>
          <w:numId w:val="0"/>
        </w:numPr>
        <w:ind w:firstLine="0" w:firstLineChars="0"/>
        <w:rPr>
          <w:rFonts w:hint="eastAsia" w:ascii="仿宋" w:hAnsi="仿宋" w:eastAsia="仿宋" w:cs="仿宋"/>
          <w:sz w:val="32"/>
          <w:szCs w:val="32"/>
        </w:rPr>
      </w:pPr>
      <w:r>
        <w:rPr>
          <w:rFonts w:hint="eastAsia" w:ascii="仿宋" w:hAnsi="仿宋" w:eastAsia="仿宋" w:cs="仿宋"/>
          <w:sz w:val="32"/>
          <w:szCs w:val="32"/>
          <w:lang w:val="en-US" w:eastAsia="zh-CN"/>
        </w:rPr>
        <w:t xml:space="preserve">    （二）</w:t>
      </w:r>
      <w:r>
        <w:rPr>
          <w:rFonts w:hint="eastAsia" w:ascii="仿宋" w:hAnsi="仿宋" w:eastAsia="仿宋" w:cs="仿宋"/>
          <w:sz w:val="32"/>
          <w:szCs w:val="32"/>
        </w:rPr>
        <w:t>动力费</w:t>
      </w:r>
      <w:r>
        <w:rPr>
          <w:rFonts w:hint="eastAsia" w:ascii="仿宋" w:hAnsi="仿宋" w:eastAsia="仿宋" w:cs="仿宋"/>
          <w:sz w:val="32"/>
          <w:szCs w:val="32"/>
          <w:lang w:eastAsia="zh-CN"/>
        </w:rPr>
        <w:t>、</w:t>
      </w:r>
      <w:r>
        <w:rPr>
          <w:rFonts w:hint="eastAsia" w:ascii="仿宋" w:hAnsi="仿宋" w:eastAsia="仿宋" w:cs="仿宋"/>
          <w:sz w:val="32"/>
          <w:szCs w:val="32"/>
        </w:rPr>
        <w:t>材料费</w:t>
      </w:r>
      <w:r>
        <w:rPr>
          <w:rFonts w:hint="eastAsia" w:ascii="仿宋" w:hAnsi="仿宋" w:eastAsia="仿宋" w:cs="仿宋"/>
          <w:sz w:val="32"/>
          <w:szCs w:val="32"/>
          <w:lang w:eastAsia="zh-CN"/>
        </w:rPr>
        <w:t>。</w:t>
      </w:r>
    </w:p>
    <w:p>
      <w:pPr>
        <w:widowControl/>
        <w:numPr>
          <w:ilvl w:val="0"/>
          <w:numId w:val="0"/>
        </w:num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动力费</w:t>
      </w:r>
      <w:r>
        <w:rPr>
          <w:rFonts w:hint="eastAsia" w:ascii="Times New Roman" w:hAnsi="Times New Roman" w:eastAsia="仿宋" w:cs="Times New Roman"/>
          <w:kern w:val="0"/>
          <w:sz w:val="32"/>
          <w:szCs w:val="32"/>
          <w:lang w:eastAsia="zh-CN"/>
        </w:rPr>
        <w:t>是</w:t>
      </w:r>
      <w:r>
        <w:rPr>
          <w:rFonts w:ascii="Times New Roman" w:hAnsi="Times New Roman" w:eastAsia="仿宋" w:cs="Times New Roman"/>
          <w:kern w:val="0"/>
          <w:sz w:val="32"/>
          <w:szCs w:val="32"/>
        </w:rPr>
        <w:t>指</w:t>
      </w:r>
      <w:r>
        <w:rPr>
          <w:rFonts w:hint="eastAsia" w:ascii="Times New Roman" w:hAnsi="Times New Roman" w:eastAsia="仿宋" w:cs="Times New Roman"/>
          <w:kern w:val="0"/>
          <w:sz w:val="32"/>
          <w:szCs w:val="32"/>
          <w:lang w:eastAsia="zh-CN"/>
        </w:rPr>
        <w:t>供水企业</w:t>
      </w:r>
      <w:r>
        <w:rPr>
          <w:rFonts w:ascii="Times New Roman" w:hAnsi="Times New Roman" w:eastAsia="仿宋" w:cs="Times New Roman"/>
          <w:kern w:val="0"/>
          <w:sz w:val="32"/>
          <w:szCs w:val="32"/>
        </w:rPr>
        <w:t>直接用于原水汲取、输送、制水生产及输配净水</w:t>
      </w:r>
      <w:r>
        <w:rPr>
          <w:rFonts w:hint="eastAsia" w:ascii="仿宋" w:hAnsi="仿宋" w:eastAsia="仿宋" w:cs="Times New Roman"/>
          <w:kern w:val="0"/>
          <w:sz w:val="32"/>
          <w:szCs w:val="32"/>
          <w:lang w:eastAsia="zh-CN"/>
        </w:rPr>
        <w:t>（含二次加压调蓄）所需动力的费用</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lang w:eastAsia="zh-CN"/>
        </w:rPr>
        <w:t>材料费是指供水企业提供供水服务所耗用的消耗性材料等费用，包括</w:t>
      </w:r>
      <w:r>
        <w:rPr>
          <w:rFonts w:ascii="Times New Roman" w:hAnsi="Times New Roman" w:eastAsia="仿宋" w:cs="Times New Roman"/>
          <w:kern w:val="0"/>
          <w:sz w:val="32"/>
          <w:szCs w:val="32"/>
        </w:rPr>
        <w:t>用于制水过程中的各种药剂和净化材料</w:t>
      </w:r>
      <w:r>
        <w:rPr>
          <w:rFonts w:hint="eastAsia" w:ascii="Times New Roman" w:hAnsi="Times New Roman" w:eastAsia="仿宋" w:cs="Times New Roman"/>
          <w:kern w:val="0"/>
          <w:sz w:val="32"/>
          <w:szCs w:val="32"/>
          <w:lang w:eastAsia="zh-CN"/>
        </w:rPr>
        <w:t>消耗、机物消耗</w:t>
      </w:r>
      <w:r>
        <w:rPr>
          <w:rFonts w:ascii="Times New Roman" w:hAnsi="Times New Roman" w:eastAsia="仿宋" w:cs="Times New Roman"/>
          <w:kern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动力费</w:t>
      </w:r>
      <w:r>
        <w:rPr>
          <w:rFonts w:hint="eastAsia" w:ascii="仿宋" w:hAnsi="仿宋" w:eastAsia="仿宋" w:cs="仿宋"/>
          <w:sz w:val="32"/>
          <w:szCs w:val="32"/>
          <w:lang w:eastAsia="zh-CN"/>
        </w:rPr>
        <w:t>、</w:t>
      </w:r>
      <w:r>
        <w:rPr>
          <w:rFonts w:hint="eastAsia" w:ascii="仿宋" w:hAnsi="仿宋" w:eastAsia="仿宋" w:cs="仿宋"/>
          <w:sz w:val="32"/>
          <w:szCs w:val="32"/>
        </w:rPr>
        <w:t>材料费原则上按剔除不合理因素后的监审期间年度平均水平核定。动力费</w:t>
      </w:r>
      <w:r>
        <w:rPr>
          <w:rFonts w:hint="eastAsia" w:ascii="仿宋" w:hAnsi="仿宋" w:eastAsia="仿宋" w:cs="仿宋"/>
          <w:sz w:val="32"/>
          <w:szCs w:val="32"/>
          <w:lang w:eastAsia="zh-CN"/>
        </w:rPr>
        <w:t>、</w:t>
      </w:r>
      <w:r>
        <w:rPr>
          <w:rFonts w:hint="eastAsia" w:ascii="仿宋" w:hAnsi="仿宋" w:eastAsia="仿宋" w:cs="仿宋"/>
          <w:sz w:val="32"/>
          <w:szCs w:val="32"/>
        </w:rPr>
        <w:t>材料费的消耗定额、损耗率等主要技术指标，应当按照消耗定额或者损耗率的国家标准或行业标准核定</w:t>
      </w:r>
      <w:r>
        <w:rPr>
          <w:rFonts w:hint="eastAsia" w:ascii="仿宋" w:hAnsi="仿宋" w:eastAsia="仿宋" w:cs="仿宋"/>
          <w:sz w:val="32"/>
          <w:szCs w:val="32"/>
          <w:lang w:eastAsia="zh-CN"/>
        </w:rPr>
        <w:t>；</w:t>
      </w:r>
      <w:r>
        <w:rPr>
          <w:rFonts w:hint="eastAsia" w:ascii="仿宋" w:hAnsi="仿宋" w:eastAsia="仿宋" w:cs="仿宋"/>
          <w:sz w:val="32"/>
          <w:szCs w:val="32"/>
        </w:rPr>
        <w:t>低于消耗定额或者损耗率标准的，据实核定</w:t>
      </w:r>
      <w:r>
        <w:rPr>
          <w:rFonts w:hint="eastAsia" w:ascii="仿宋" w:hAnsi="仿宋" w:eastAsia="仿宋" w:cs="仿宋"/>
          <w:sz w:val="32"/>
          <w:szCs w:val="32"/>
          <w:lang w:eastAsia="zh-CN"/>
        </w:rPr>
        <w:t>；</w:t>
      </w:r>
      <w:r>
        <w:rPr>
          <w:rFonts w:hint="eastAsia" w:ascii="仿宋" w:hAnsi="仿宋" w:eastAsia="仿宋" w:cs="仿宋"/>
          <w:sz w:val="32"/>
          <w:szCs w:val="32"/>
        </w:rPr>
        <w:t>没有国家标准或行业标准的，参照同行业可比供水企业平均水平核定</w:t>
      </w:r>
      <w:r>
        <w:rPr>
          <w:rFonts w:hint="eastAsia" w:ascii="仿宋" w:hAnsi="仿宋" w:eastAsia="仿宋" w:cs="仿宋"/>
          <w:sz w:val="32"/>
          <w:szCs w:val="32"/>
          <w:lang w:eastAsia="zh-CN"/>
        </w:rPr>
        <w:t>；</w:t>
      </w:r>
      <w:r>
        <w:rPr>
          <w:rFonts w:hint="eastAsia" w:ascii="仿宋" w:hAnsi="仿宋" w:eastAsia="仿宋" w:cs="仿宋"/>
          <w:sz w:val="32"/>
          <w:szCs w:val="32"/>
        </w:rPr>
        <w:t>同行业内各供水企业之间技术指标不可比的，应当考虑供水企业实际情况和区域差异等因素，并参照供水企业历史水平合理核定。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动力费</w:t>
      </w:r>
      <w:r>
        <w:rPr>
          <w:rFonts w:hint="eastAsia" w:ascii="仿宋" w:hAnsi="仿宋" w:eastAsia="仿宋" w:cs="仿宋"/>
          <w:sz w:val="32"/>
          <w:szCs w:val="32"/>
          <w:lang w:eastAsia="zh-CN"/>
        </w:rPr>
        <w:t>、</w:t>
      </w:r>
      <w:r>
        <w:rPr>
          <w:rFonts w:hint="eastAsia" w:ascii="仿宋" w:hAnsi="仿宋" w:eastAsia="仿宋" w:cs="仿宋"/>
          <w:sz w:val="32"/>
          <w:szCs w:val="32"/>
        </w:rPr>
        <w:t>材料费等价格的核定，应当以购进合同、原始票据为依据，购进价格明显高于同期同类产品市场平均价格的，原则上应当按照同期同类产品市场平均价格确定其进货成本。</w:t>
      </w:r>
    </w:p>
    <w:p>
      <w:pPr>
        <w:keepNext w:val="0"/>
        <w:keepLines w:val="0"/>
        <w:pageBreakBefore w:val="0"/>
        <w:widowControl w:val="0"/>
        <w:numPr>
          <w:ilvl w:val="-1"/>
          <w:numId w:val="0"/>
        </w:numPr>
        <w:kinsoku/>
        <w:wordWrap/>
        <w:overflowPunct/>
        <w:topLinePunct w:val="0"/>
        <w:autoSpaceDE/>
        <w:autoSpaceDN/>
        <w:bidi w:val="0"/>
        <w:adjustRightInd/>
        <w:snapToGrid/>
        <w:ind w:left="418" w:leftChars="199"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修理费</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修理费</w:t>
      </w:r>
      <w:r>
        <w:rPr>
          <w:rFonts w:hint="eastAsia" w:ascii="仿宋" w:hAnsi="仿宋" w:eastAsia="仿宋" w:cs="仿宋"/>
          <w:sz w:val="32"/>
          <w:szCs w:val="32"/>
          <w:lang w:eastAsia="zh-CN"/>
        </w:rPr>
        <w:t>是指供水企业因自行组织大修、抢修、日常检修、事故应急发生的材料消耗、事故备品备件和委托外部社会单位检修需要企业自行购买的材料费用，以及为维持供水正常运行所进行的外包修理活动发生的检修费用，不包括企业自行组织检修发生的人工费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修理费原则上按剔除不合理因素后的监审期间年度平均水平核定，但最高原则上不得超过</w:t>
      </w:r>
      <w:r>
        <w:rPr>
          <w:rFonts w:hint="eastAsia" w:ascii="仿宋" w:hAnsi="仿宋" w:eastAsia="仿宋" w:cs="仿宋"/>
          <w:sz w:val="32"/>
          <w:szCs w:val="32"/>
          <w:lang w:eastAsia="zh-CN"/>
        </w:rPr>
        <w:t>与</w:t>
      </w:r>
      <w:r>
        <w:rPr>
          <w:rFonts w:hint="eastAsia" w:ascii="仿宋" w:hAnsi="仿宋" w:eastAsia="仿宋" w:cs="仿宋"/>
          <w:sz w:val="32"/>
          <w:szCs w:val="32"/>
        </w:rPr>
        <w:t>供水业务相关的固定资产原值的2%</w:t>
      </w:r>
      <w:r>
        <w:rPr>
          <w:rFonts w:hint="eastAsia" w:ascii="仿宋" w:hAnsi="仿宋" w:eastAsia="仿宋" w:cs="仿宋"/>
          <w:sz w:val="32"/>
          <w:szCs w:val="32"/>
          <w:lang w:eastAsia="zh-CN"/>
        </w:rPr>
        <w:t>；</w:t>
      </w:r>
      <w:r>
        <w:rPr>
          <w:rFonts w:hint="eastAsia" w:ascii="仿宋" w:hAnsi="仿宋" w:eastAsia="仿宋" w:cs="仿宋"/>
          <w:sz w:val="32"/>
          <w:szCs w:val="32"/>
        </w:rPr>
        <w:t>超过上限标准的，供水企业应当证明其合理性，具体数额经评估论证后确定。特殊情况下，因不可抗力等因素造成的一次性费用过高的可分期分摊</w:t>
      </w:r>
      <w:r>
        <w:rPr>
          <w:rFonts w:hint="eastAsia" w:ascii="仿宋" w:hAnsi="仿宋" w:eastAsia="仿宋" w:cs="仿宋"/>
          <w:sz w:val="32"/>
          <w:szCs w:val="32"/>
          <w:lang w:eastAsia="zh-CN"/>
        </w:rPr>
        <w:t>；符合固定资产大修理支出条件的修理费，按照固定资产尚可使用年限分期摊销；经营租赁方式租入的固定资产改良支出，应资本化，作为长期待摊费用在租赁有效期内平均摊销。自有固定资产改良支出，应当计入固定资产账面价值，并按预计尚可使用年限计提折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人工费</w:t>
      </w:r>
      <w:r>
        <w:rPr>
          <w:rFonts w:hint="eastAsia" w:ascii="仿宋" w:hAnsi="仿宋" w:eastAsia="仿宋" w:cs="仿宋"/>
          <w:sz w:val="32"/>
          <w:szCs w:val="32"/>
          <w:lang w:eastAsia="zh-CN"/>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lang w:eastAsia="zh-CN"/>
        </w:rPr>
        <w:t>人工费是</w:t>
      </w:r>
      <w:r>
        <w:rPr>
          <w:rFonts w:hint="eastAsia" w:ascii="仿宋" w:hAnsi="仿宋" w:eastAsia="仿宋" w:cs="Times New Roman"/>
          <w:sz w:val="32"/>
          <w:szCs w:val="32"/>
        </w:rPr>
        <w:t>指</w:t>
      </w:r>
      <w:r>
        <w:rPr>
          <w:rFonts w:hint="eastAsia" w:ascii="仿宋" w:hAnsi="仿宋" w:eastAsia="仿宋" w:cs="Times New Roman"/>
          <w:sz w:val="32"/>
          <w:szCs w:val="32"/>
          <w:lang w:eastAsia="zh-CN"/>
        </w:rPr>
        <w:t>供水企业</w:t>
      </w:r>
      <w:r>
        <w:rPr>
          <w:rFonts w:hint="eastAsia" w:ascii="仿宋" w:hAnsi="仿宋" w:eastAsia="仿宋" w:cs="Times New Roman"/>
          <w:sz w:val="32"/>
          <w:szCs w:val="32"/>
        </w:rPr>
        <w:t>为获得职工所提供的服务而给予的各种形式报酬以及其他相关支出。包括工资</w:t>
      </w:r>
      <w:r>
        <w:rPr>
          <w:rFonts w:hint="eastAsia" w:ascii="仿宋" w:hAnsi="仿宋" w:eastAsia="仿宋" w:cs="Times New Roman"/>
          <w:sz w:val="32"/>
          <w:szCs w:val="32"/>
          <w:lang w:eastAsia="zh-CN"/>
        </w:rPr>
        <w:t>总额</w:t>
      </w:r>
      <w:r>
        <w:rPr>
          <w:rFonts w:hint="eastAsia" w:ascii="仿宋" w:hAnsi="仿宋" w:eastAsia="仿宋" w:cs="Times New Roman"/>
          <w:sz w:val="32"/>
          <w:szCs w:val="32"/>
        </w:rPr>
        <w:t>（</w:t>
      </w:r>
      <w:r>
        <w:rPr>
          <w:rFonts w:hint="eastAsia" w:ascii="仿宋" w:hAnsi="仿宋" w:eastAsia="仿宋" w:cs="Times New Roman"/>
          <w:sz w:val="32"/>
          <w:szCs w:val="32"/>
          <w:lang w:eastAsia="zh-CN"/>
        </w:rPr>
        <w:t>含</w:t>
      </w:r>
      <w:r>
        <w:rPr>
          <w:rFonts w:hint="eastAsia" w:ascii="仿宋" w:hAnsi="仿宋" w:eastAsia="仿宋" w:cs="Times New Roman"/>
          <w:sz w:val="32"/>
          <w:szCs w:val="32"/>
        </w:rPr>
        <w:t>工资、奖金、津贴和补贴）、职工福利费、社会保险费、住房公积金、工会经费</w:t>
      </w:r>
      <w:r>
        <w:rPr>
          <w:rFonts w:hint="eastAsia" w:ascii="仿宋" w:hAnsi="仿宋" w:eastAsia="仿宋" w:cs="Times New Roman"/>
          <w:sz w:val="32"/>
          <w:szCs w:val="32"/>
          <w:lang w:eastAsia="zh-CN"/>
        </w:rPr>
        <w:t>、</w:t>
      </w:r>
      <w:r>
        <w:rPr>
          <w:rFonts w:hint="eastAsia" w:ascii="仿宋" w:hAnsi="仿宋" w:eastAsia="仿宋" w:cs="Times New Roman"/>
          <w:sz w:val="32"/>
          <w:szCs w:val="32"/>
        </w:rPr>
        <w:t>职工教育经费、解除与职工劳动关系给予的补偿</w:t>
      </w:r>
      <w:r>
        <w:rPr>
          <w:rFonts w:hint="eastAsia" w:ascii="仿宋" w:hAnsi="仿宋" w:eastAsia="仿宋" w:cs="Times New Roman"/>
          <w:sz w:val="32"/>
          <w:szCs w:val="32"/>
          <w:lang w:eastAsia="zh-CN"/>
        </w:rPr>
        <w:t>，以及劳务派遣、临时用工支出</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default" w:ascii="仿宋" w:hAnsi="仿宋" w:eastAsia="仿宋" w:cs="仿宋"/>
          <w:sz w:val="32"/>
          <w:szCs w:val="32"/>
          <w:lang w:val="en"/>
        </w:rPr>
        <w:t>.</w:t>
      </w:r>
      <w:r>
        <w:rPr>
          <w:rFonts w:hint="eastAsia" w:ascii="仿宋" w:hAnsi="仿宋" w:eastAsia="仿宋" w:cs="仿宋"/>
          <w:sz w:val="32"/>
          <w:szCs w:val="32"/>
        </w:rPr>
        <w:t>职工工资总额按照职工平均工资与职工人数核定。职工平均工资，原则上按照监审期间最末1年在岗职工实际平均水平确定，但最高不得超过统计部门公布的当地该行业职工平均工资水平</w:t>
      </w:r>
      <w:r>
        <w:rPr>
          <w:rFonts w:hint="eastAsia" w:ascii="仿宋" w:hAnsi="仿宋" w:eastAsia="仿宋" w:cs="仿宋"/>
          <w:sz w:val="32"/>
          <w:szCs w:val="32"/>
          <w:lang w:val="en" w:eastAsia="zh-CN"/>
        </w:rPr>
        <w:t>；</w:t>
      </w:r>
      <w:r>
        <w:rPr>
          <w:rFonts w:hint="eastAsia" w:ascii="仿宋" w:hAnsi="仿宋" w:eastAsia="仿宋" w:cs="仿宋"/>
          <w:sz w:val="32"/>
          <w:szCs w:val="32"/>
        </w:rPr>
        <w:t>职工人数一般按15人/万立方米</w:t>
      </w:r>
      <w:r>
        <w:rPr>
          <w:rFonts w:hint="eastAsia" w:ascii="仿宋" w:hAnsi="仿宋" w:eastAsia="仿宋" w:cs="仿宋"/>
          <w:sz w:val="32"/>
          <w:szCs w:val="32"/>
          <w:lang w:eastAsia="zh-CN"/>
        </w:rPr>
        <w:t>（日</w:t>
      </w:r>
      <w:r>
        <w:rPr>
          <w:rFonts w:hint="eastAsia" w:ascii="仿宋" w:hAnsi="仿宋" w:eastAsia="仿宋" w:cs="仿宋"/>
          <w:sz w:val="32"/>
          <w:szCs w:val="32"/>
        </w:rPr>
        <w:t>生产能力</w:t>
      </w:r>
      <w:r>
        <w:rPr>
          <w:rFonts w:hint="eastAsia" w:ascii="仿宋" w:hAnsi="仿宋" w:eastAsia="仿宋" w:cs="仿宋"/>
          <w:sz w:val="32"/>
          <w:szCs w:val="32"/>
          <w:lang w:eastAsia="zh-CN"/>
        </w:rPr>
        <w:t>）</w:t>
      </w:r>
      <w:r>
        <w:rPr>
          <w:rFonts w:hint="eastAsia" w:ascii="仿宋" w:hAnsi="仿宋" w:eastAsia="仿宋" w:cs="仿宋"/>
          <w:sz w:val="32"/>
          <w:szCs w:val="32"/>
        </w:rPr>
        <w:t>为定员参考上限，结合实际核定供水企业职工人数。供水企业监审期间最末1年实有在岗职工人数超过</w:t>
      </w:r>
      <w:r>
        <w:rPr>
          <w:rFonts w:hint="eastAsia" w:ascii="仿宋" w:hAnsi="仿宋" w:eastAsia="仿宋" w:cs="仿宋"/>
          <w:sz w:val="32"/>
          <w:szCs w:val="32"/>
          <w:lang w:eastAsia="zh-CN"/>
        </w:rPr>
        <w:t>定员</w:t>
      </w:r>
      <w:r>
        <w:rPr>
          <w:rFonts w:hint="eastAsia" w:ascii="仿宋" w:hAnsi="仿宋" w:eastAsia="仿宋" w:cs="仿宋"/>
          <w:sz w:val="32"/>
          <w:szCs w:val="32"/>
        </w:rPr>
        <w:t>标准上限的，按</w:t>
      </w:r>
      <w:r>
        <w:rPr>
          <w:rFonts w:hint="eastAsia" w:ascii="仿宋" w:hAnsi="仿宋" w:eastAsia="仿宋" w:cs="仿宋"/>
          <w:sz w:val="32"/>
          <w:szCs w:val="32"/>
          <w:lang w:eastAsia="zh-CN"/>
        </w:rPr>
        <w:t>定员</w:t>
      </w:r>
      <w:r>
        <w:rPr>
          <w:rFonts w:hint="eastAsia" w:ascii="仿宋" w:hAnsi="仿宋" w:eastAsia="仿宋" w:cs="仿宋"/>
          <w:sz w:val="32"/>
          <w:szCs w:val="32"/>
        </w:rPr>
        <w:t>标准上限核定，实有在岗职工人数低于</w:t>
      </w:r>
      <w:r>
        <w:rPr>
          <w:rFonts w:hint="eastAsia" w:ascii="仿宋" w:hAnsi="仿宋" w:eastAsia="仿宋" w:cs="仿宋"/>
          <w:sz w:val="32"/>
          <w:szCs w:val="32"/>
          <w:lang w:eastAsia="zh-CN"/>
        </w:rPr>
        <w:t>定员</w:t>
      </w:r>
      <w:r>
        <w:rPr>
          <w:rFonts w:hint="eastAsia" w:ascii="仿宋" w:hAnsi="仿宋" w:eastAsia="仿宋" w:cs="仿宋"/>
          <w:sz w:val="32"/>
          <w:szCs w:val="32"/>
        </w:rPr>
        <w:t>标准上限的，</w:t>
      </w:r>
      <w:r>
        <w:rPr>
          <w:rFonts w:hint="eastAsia" w:ascii="仿宋" w:hAnsi="仿宋" w:eastAsia="仿宋" w:cs="仿宋"/>
          <w:sz w:val="32"/>
          <w:szCs w:val="32"/>
          <w:lang w:eastAsia="zh-CN"/>
        </w:rPr>
        <w:t>按照定员标准上限和实有在岗职工人数的算术平均值</w:t>
      </w:r>
      <w:r>
        <w:rPr>
          <w:rFonts w:hint="eastAsia" w:ascii="仿宋" w:hAnsi="仿宋" w:eastAsia="仿宋" w:cs="仿宋"/>
          <w:sz w:val="32"/>
          <w:szCs w:val="32"/>
        </w:rPr>
        <w:t>核定。</w:t>
      </w:r>
      <w:r>
        <w:rPr>
          <w:rFonts w:hint="eastAsia" w:ascii="仿宋" w:hAnsi="仿宋" w:eastAsia="仿宋" w:cs="仿宋"/>
          <w:sz w:val="32"/>
          <w:szCs w:val="32"/>
          <w:lang w:eastAsia="zh-CN"/>
        </w:rPr>
        <w:t>由政府有关部门进行工资管理的供水企业，按监审期间最末1年政府有关部门工资管理办法核定。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2.社会保障费。包括基本养老保险、基本医疗保险、失业保险、工伤保险、生育保险、补充养老保险</w:t>
      </w:r>
      <w:r>
        <w:rPr>
          <w:rFonts w:hint="eastAsia" w:ascii="仿宋" w:hAnsi="仿宋" w:eastAsia="仿宋" w:cs="仿宋"/>
          <w:sz w:val="32"/>
          <w:szCs w:val="32"/>
          <w:lang w:eastAsia="zh-CN"/>
        </w:rPr>
        <w:t>（</w:t>
      </w:r>
      <w:r>
        <w:rPr>
          <w:rFonts w:hint="eastAsia" w:ascii="仿宋" w:hAnsi="仿宋" w:eastAsia="仿宋" w:cs="仿宋"/>
          <w:sz w:val="32"/>
          <w:szCs w:val="32"/>
        </w:rPr>
        <w:t>年金</w:t>
      </w:r>
      <w:r>
        <w:rPr>
          <w:rFonts w:hint="eastAsia" w:ascii="仿宋" w:hAnsi="仿宋" w:eastAsia="仿宋" w:cs="仿宋"/>
          <w:sz w:val="32"/>
          <w:szCs w:val="32"/>
          <w:lang w:eastAsia="zh-CN"/>
        </w:rPr>
        <w:t>）</w:t>
      </w:r>
      <w:r>
        <w:rPr>
          <w:rFonts w:hint="eastAsia" w:ascii="仿宋" w:hAnsi="仿宋" w:eastAsia="仿宋" w:cs="仿宋"/>
          <w:sz w:val="32"/>
          <w:szCs w:val="32"/>
        </w:rPr>
        <w:t>、补充医疗保险以及住房公积金，审核计算基数原则上按照供水企业监审期间最末1年实缴基数核定，但最高不得超过核定的工资总额和当地政府规定的基数，计算比例按照不超过国家或者当地政府统一规定的比例确定。供水企业购买的除上述法定社会保障费以外的其他商业保险不得计入城镇供水定价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default" w:ascii="仿宋" w:hAnsi="仿宋" w:eastAsia="仿宋" w:cs="仿宋"/>
          <w:sz w:val="32"/>
          <w:szCs w:val="32"/>
          <w:lang w:val="en"/>
        </w:rPr>
        <w:t>.</w:t>
      </w:r>
      <w:r>
        <w:rPr>
          <w:rFonts w:hint="eastAsia" w:ascii="仿宋" w:hAnsi="仿宋" w:eastAsia="仿宋" w:cs="仿宋"/>
          <w:sz w:val="32"/>
          <w:szCs w:val="32"/>
        </w:rPr>
        <w:t>工会经费、职工福利费、职工教育经费。审核计算基数原则上按照供水企业监审期间最末1年实缴基数核定，但最高不得超过核定的工资总额和当地政府规定的基数，计算比例按照不超过国家或者当地政府统一规定的比例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w:t>
      </w:r>
      <w:r>
        <w:rPr>
          <w:rFonts w:hint="default" w:ascii="仿宋" w:hAnsi="仿宋" w:eastAsia="仿宋" w:cs="仿宋"/>
          <w:sz w:val="32"/>
          <w:szCs w:val="32"/>
          <w:lang w:val="en"/>
        </w:rPr>
        <w:t>.</w:t>
      </w:r>
      <w:r>
        <w:rPr>
          <w:rFonts w:hint="eastAsia" w:ascii="仿宋" w:hAnsi="仿宋" w:eastAsia="仿宋" w:cs="仿宋"/>
          <w:sz w:val="32"/>
          <w:szCs w:val="32"/>
        </w:rPr>
        <w:t>解除与职工的劳动关系补偿费。</w:t>
      </w:r>
      <w:r>
        <w:rPr>
          <w:rFonts w:hint="eastAsia" w:ascii="仿宋" w:hAnsi="仿宋" w:eastAsia="仿宋" w:cs="仿宋"/>
          <w:sz w:val="32"/>
          <w:szCs w:val="32"/>
          <w:lang w:eastAsia="zh-CN"/>
        </w:rPr>
        <w:t>按照监审期间最末1年实际应分摊的费用，计入定价成本。核定的解除与职工的劳动关系补偿费应按照实际平均补偿年限分摊。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劳务派遣、</w:t>
      </w:r>
      <w:r>
        <w:rPr>
          <w:rFonts w:hint="eastAsia" w:ascii="仿宋" w:hAnsi="仿宋" w:eastAsia="仿宋" w:cs="仿宋"/>
          <w:sz w:val="32"/>
          <w:szCs w:val="32"/>
        </w:rPr>
        <w:t>临时用工</w:t>
      </w:r>
      <w:r>
        <w:rPr>
          <w:rFonts w:hint="eastAsia" w:ascii="仿宋" w:hAnsi="仿宋" w:eastAsia="仿宋" w:cs="仿宋"/>
          <w:sz w:val="32"/>
          <w:szCs w:val="32"/>
          <w:lang w:eastAsia="zh-CN"/>
        </w:rPr>
        <w:t>性质的用工</w:t>
      </w:r>
      <w:r>
        <w:rPr>
          <w:rFonts w:hint="eastAsia" w:ascii="仿宋" w:hAnsi="仿宋" w:eastAsia="仿宋" w:cs="仿宋"/>
          <w:sz w:val="32"/>
          <w:szCs w:val="32"/>
        </w:rPr>
        <w:t>支出未包含在工资总额内的，</w:t>
      </w:r>
      <w:r>
        <w:rPr>
          <w:rFonts w:hint="eastAsia" w:ascii="仿宋" w:hAnsi="仿宋" w:eastAsia="仿宋" w:cs="仿宋"/>
          <w:color w:val="auto"/>
          <w:sz w:val="32"/>
          <w:szCs w:val="32"/>
        </w:rPr>
        <w:t>在不超过国家</w:t>
      </w:r>
      <w:r>
        <w:rPr>
          <w:rFonts w:hint="eastAsia" w:ascii="仿宋" w:hAnsi="仿宋" w:eastAsia="仿宋" w:cs="仿宋"/>
          <w:color w:val="auto"/>
          <w:sz w:val="32"/>
          <w:szCs w:val="32"/>
          <w:lang w:eastAsia="zh-CN"/>
        </w:rPr>
        <w:t>有关</w:t>
      </w:r>
      <w:r>
        <w:rPr>
          <w:rFonts w:hint="eastAsia" w:ascii="仿宋" w:hAnsi="仿宋" w:eastAsia="仿宋" w:cs="仿宋"/>
          <w:color w:val="auto"/>
          <w:sz w:val="32"/>
          <w:szCs w:val="32"/>
        </w:rPr>
        <w:t>规定的范围内</w:t>
      </w:r>
      <w:r>
        <w:rPr>
          <w:rFonts w:hint="eastAsia" w:ascii="仿宋" w:hAnsi="仿宋" w:eastAsia="仿宋" w:cs="仿宋"/>
          <w:sz w:val="32"/>
          <w:szCs w:val="32"/>
          <w:lang w:eastAsia="zh-CN"/>
        </w:rPr>
        <w:t>按供水企业实际发生数核定。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其他运营费用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生产经营类费用。</w:t>
      </w:r>
      <w:r>
        <w:rPr>
          <w:rFonts w:hint="eastAsia" w:ascii="仿宋" w:hAnsi="仿宋" w:eastAsia="仿宋" w:cs="仿宋"/>
          <w:sz w:val="32"/>
          <w:szCs w:val="32"/>
        </w:rPr>
        <w:t>水质检测</w:t>
      </w:r>
      <w:r>
        <w:rPr>
          <w:rFonts w:hint="eastAsia" w:ascii="仿宋" w:hAnsi="仿宋" w:eastAsia="仿宋" w:cs="仿宋"/>
          <w:sz w:val="32"/>
          <w:szCs w:val="32"/>
          <w:lang w:eastAsia="zh-CN"/>
        </w:rPr>
        <w:t>和</w:t>
      </w:r>
      <w:r>
        <w:rPr>
          <w:rFonts w:hint="eastAsia" w:ascii="仿宋" w:hAnsi="仿宋" w:eastAsia="仿宋" w:cs="仿宋"/>
          <w:sz w:val="32"/>
          <w:szCs w:val="32"/>
        </w:rPr>
        <w:t>监测费、代收手续费、计量器具检定与更换费等原则上按剔除不合理因素后的监审期间年度平均水平核定。</w:t>
      </w:r>
    </w:p>
    <w:p>
      <w:pPr>
        <w:keepNext w:val="0"/>
        <w:keepLines w:val="0"/>
        <w:pageBreakBefore w:val="0"/>
        <w:widowControl/>
        <w:kinsoku/>
        <w:wordWrap/>
        <w:overflowPunct/>
        <w:topLinePunct w:val="0"/>
        <w:autoSpaceDE/>
        <w:autoSpaceDN/>
        <w:bidi w:val="0"/>
        <w:adjustRightInd/>
        <w:snapToGrid/>
        <w:spacing w:line="375"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2.管理费用。</w:t>
      </w:r>
      <w:r>
        <w:rPr>
          <w:rFonts w:hint="eastAsia" w:ascii="仿宋" w:hAnsi="仿宋" w:eastAsia="仿宋" w:cs="仿宋"/>
          <w:sz w:val="32"/>
          <w:szCs w:val="32"/>
          <w:lang w:eastAsia="zh-CN"/>
        </w:rPr>
        <w:t>办公费、会议费、水电费、租赁费、物业管理费、交通费、差</w:t>
      </w:r>
      <w:r>
        <w:rPr>
          <w:rFonts w:hint="eastAsia" w:ascii="仿宋" w:hAnsi="仿宋" w:eastAsia="仿宋" w:cs="仿宋"/>
          <w:color w:val="auto"/>
          <w:sz w:val="32"/>
          <w:szCs w:val="32"/>
          <w:lang w:eastAsia="zh-CN"/>
        </w:rPr>
        <w:t>旅费、业务招待费</w:t>
      </w:r>
      <w:r>
        <w:rPr>
          <w:rFonts w:hint="eastAsia" w:ascii="仿宋" w:hAnsi="仿宋" w:eastAsia="仿宋" w:cs="仿宋"/>
          <w:sz w:val="32"/>
          <w:szCs w:val="32"/>
          <w:lang w:eastAsia="zh-CN"/>
        </w:rPr>
        <w:t>等非生产性费用</w:t>
      </w:r>
      <w:r>
        <w:rPr>
          <w:rFonts w:hint="eastAsia" w:ascii="仿宋" w:hAnsi="仿宋" w:eastAsia="仿宋" w:cs="仿宋"/>
          <w:sz w:val="32"/>
          <w:szCs w:val="32"/>
        </w:rPr>
        <w:t>按剔除不合理因素后的监审期间年度平均水平核定。其中:业务招待费最高不超过</w:t>
      </w:r>
      <w:r>
        <w:rPr>
          <w:rFonts w:hint="eastAsia" w:ascii="仿宋" w:hAnsi="仿宋" w:eastAsia="仿宋" w:cs="仿宋"/>
          <w:sz w:val="32"/>
          <w:szCs w:val="32"/>
          <w:lang w:eastAsia="zh-CN"/>
        </w:rPr>
        <w:t>监审期间</w:t>
      </w:r>
      <w:r>
        <w:rPr>
          <w:rFonts w:hint="eastAsia" w:ascii="仿宋" w:hAnsi="仿宋" w:eastAsia="仿宋" w:cs="仿宋"/>
          <w:sz w:val="32"/>
          <w:szCs w:val="32"/>
        </w:rPr>
        <w:t>供水</w:t>
      </w:r>
      <w:r>
        <w:rPr>
          <w:rFonts w:hint="eastAsia" w:ascii="仿宋" w:hAnsi="仿宋" w:eastAsia="仿宋" w:cs="仿宋"/>
          <w:sz w:val="32"/>
          <w:szCs w:val="32"/>
          <w:lang w:eastAsia="zh-CN"/>
        </w:rPr>
        <w:t>销售平均</w:t>
      </w:r>
      <w:r>
        <w:rPr>
          <w:rFonts w:hint="eastAsia" w:ascii="仿宋" w:hAnsi="仿宋" w:eastAsia="仿宋" w:cs="仿宋"/>
          <w:sz w:val="32"/>
          <w:szCs w:val="32"/>
        </w:rPr>
        <w:t>收入</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0.</w:t>
      </w:r>
      <w:r>
        <w:rPr>
          <w:rFonts w:hint="eastAsia" w:ascii="仿宋" w:hAnsi="仿宋" w:eastAsia="仿宋" w:cs="仿宋"/>
          <w:sz w:val="32"/>
          <w:szCs w:val="32"/>
        </w:rPr>
        <w:t>5%，未达到的据实核定</w:t>
      </w:r>
      <w:r>
        <w:rPr>
          <w:rFonts w:ascii="Times New Roman" w:hAnsi="Times New Roman" w:eastAsia="仿宋"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价内税金。</w:t>
      </w:r>
      <w:r>
        <w:rPr>
          <w:rFonts w:hint="eastAsia" w:ascii="仿宋" w:hAnsi="仿宋" w:eastAsia="仿宋" w:cs="仿宋"/>
          <w:sz w:val="32"/>
          <w:szCs w:val="32"/>
          <w:lang w:eastAsia="zh-CN"/>
        </w:rPr>
        <w:t>包括车船使用税、房产税、土地使用税、印花税等，</w:t>
      </w:r>
      <w:r>
        <w:rPr>
          <w:rFonts w:hint="eastAsia" w:ascii="仿宋" w:hAnsi="仿宋" w:eastAsia="仿宋" w:cs="仿宋"/>
          <w:sz w:val="32"/>
          <w:szCs w:val="32"/>
        </w:rPr>
        <w:t>按照国家现行税法规定监审期间年度最末1年实际发生费用核定。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4.其他费用。</w:t>
      </w:r>
      <w:r>
        <w:rPr>
          <w:rFonts w:hint="eastAsia" w:ascii="仿宋" w:hAnsi="仿宋" w:eastAsia="仿宋" w:cs="仿宋"/>
          <w:sz w:val="32"/>
          <w:szCs w:val="32"/>
          <w:lang w:eastAsia="zh-CN"/>
        </w:rPr>
        <w:t>包括低值易耗品摊销、管理信息系统维护费等其他支出，</w:t>
      </w:r>
      <w:r>
        <w:rPr>
          <w:rFonts w:hint="eastAsia" w:ascii="仿宋" w:hAnsi="仿宋" w:eastAsia="仿宋" w:cs="仿宋"/>
          <w:sz w:val="32"/>
          <w:szCs w:val="32"/>
        </w:rPr>
        <w:t>按照监审期间年度平均水平或适当参考监审期间变化，需剔除不合理因素核定。其中:安全生产费用原则上据实核定，但最高不得超过法律法规规定的提取标准。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城镇居民二次供水设施由城镇供水企业负责运行维护管理的，二次供水设施的运行维护</w:t>
      </w:r>
      <w:r>
        <w:rPr>
          <w:rFonts w:hint="eastAsia" w:ascii="仿宋" w:hAnsi="仿宋" w:eastAsia="仿宋" w:cs="仿宋"/>
          <w:sz w:val="32"/>
          <w:szCs w:val="32"/>
          <w:lang w:eastAsia="zh-CN"/>
        </w:rPr>
        <w:t>、修理更新等</w:t>
      </w:r>
      <w:r>
        <w:rPr>
          <w:rFonts w:hint="eastAsia" w:ascii="仿宋" w:hAnsi="仿宋" w:eastAsia="仿宋" w:cs="仿宋"/>
          <w:sz w:val="32"/>
          <w:szCs w:val="32"/>
        </w:rPr>
        <w:t>费</w:t>
      </w:r>
      <w:r>
        <w:rPr>
          <w:rFonts w:hint="eastAsia" w:ascii="仿宋" w:hAnsi="仿宋" w:eastAsia="仿宋" w:cs="仿宋"/>
          <w:sz w:val="32"/>
          <w:szCs w:val="32"/>
          <w:lang w:eastAsia="zh-CN"/>
        </w:rPr>
        <w:t>用</w:t>
      </w:r>
      <w:r>
        <w:rPr>
          <w:rFonts w:hint="eastAsia" w:ascii="仿宋" w:hAnsi="仿宋" w:eastAsia="仿宋" w:cs="仿宋"/>
          <w:sz w:val="32"/>
          <w:szCs w:val="32"/>
        </w:rPr>
        <w:t>计入供水企业运行维护管理成本及定价成本。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供水企业获得与城镇供水相关的政府补助、社会无偿投入等专项资金，用于购买资产的，按照本细则第十条至第十一条规定核定</w:t>
      </w:r>
      <w:r>
        <w:rPr>
          <w:rFonts w:hint="eastAsia" w:ascii="仿宋" w:hAnsi="仿宋" w:eastAsia="仿宋" w:cs="仿宋"/>
          <w:sz w:val="32"/>
          <w:szCs w:val="32"/>
          <w:lang w:eastAsia="zh-CN"/>
        </w:rPr>
        <w:t>；</w:t>
      </w:r>
      <w:r>
        <w:rPr>
          <w:rFonts w:hint="eastAsia" w:ascii="仿宋" w:hAnsi="仿宋" w:eastAsia="仿宋" w:cs="仿宋"/>
          <w:sz w:val="32"/>
          <w:szCs w:val="32"/>
        </w:rPr>
        <w:t>用于补助专门项目的，直接冲减该项成本</w:t>
      </w:r>
      <w:r>
        <w:rPr>
          <w:rFonts w:hint="eastAsia" w:ascii="仿宋" w:hAnsi="仿宋" w:eastAsia="仿宋" w:cs="仿宋"/>
          <w:sz w:val="32"/>
          <w:szCs w:val="32"/>
          <w:lang w:eastAsia="zh-CN"/>
        </w:rPr>
        <w:t>（</w:t>
      </w:r>
      <w:r>
        <w:rPr>
          <w:rFonts w:hint="eastAsia" w:ascii="仿宋" w:hAnsi="仿宋" w:eastAsia="仿宋" w:cs="仿宋"/>
          <w:sz w:val="32"/>
          <w:szCs w:val="32"/>
        </w:rPr>
        <w:t>费用</w:t>
      </w:r>
      <w:r>
        <w:rPr>
          <w:rFonts w:hint="eastAsia" w:ascii="仿宋" w:hAnsi="仿宋" w:eastAsia="仿宋" w:cs="仿宋"/>
          <w:sz w:val="32"/>
          <w:szCs w:val="32"/>
          <w:lang w:eastAsia="zh-CN"/>
        </w:rPr>
        <w:t>）；</w:t>
      </w:r>
      <w:r>
        <w:rPr>
          <w:rFonts w:hint="eastAsia" w:ascii="仿宋" w:hAnsi="仿宋" w:eastAsia="仿宋" w:cs="仿宋"/>
          <w:sz w:val="32"/>
          <w:szCs w:val="32"/>
        </w:rPr>
        <w:t>未明确规定专项用途的，应当冲减总成本。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其他业务成本应当单独核算，不计入城镇供水定价成本。其他业务与城镇供水业务共同使用资产、人员或者统一支付费用，依托城镇供水业务从事生产经营活动，以及因从事城镇供水业务而获得政府优惠政策等，不能单独核算或核算不合理的，应当按一定比例分摊成本。该比例可采用收入比、直接人员数量比、资产比或其他合理方法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可计提收益的有效资产，指供水企业投资形成的制水、输配水的工程设施设备以及其他与供水业务相关的资产，包括固定资产净值、无形资产净值和营运资本。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可计提收益的固定资产净值根据监审期间最末1年可计提折旧计入定价成本的固定资产期末数所对应的账面净值核定。以下资产不得纳入可计提收益的固定资产范围</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1.与供水业务无关的、未投入实际使用的固定资产</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2.不能提供价值有效证明的固定资产。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3.用户或地方政府无偿移交，由政府补助或社会无偿投入等投资形成的资产。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4.固定资产评估增值部分。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5.其他不应计提收益的固定资产。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可计提收益的无形资产，主要包括软件、土地使用权等</w:t>
      </w:r>
      <w:r>
        <w:rPr>
          <w:rFonts w:hint="eastAsia" w:ascii="仿宋" w:hAnsi="仿宋" w:eastAsia="仿宋" w:cs="仿宋"/>
          <w:sz w:val="32"/>
          <w:szCs w:val="32"/>
          <w:lang w:eastAsia="zh-CN"/>
        </w:rPr>
        <w:t>。</w:t>
      </w:r>
      <w:r>
        <w:rPr>
          <w:rFonts w:hint="eastAsia" w:ascii="仿宋" w:hAnsi="仿宋" w:eastAsia="仿宋" w:cs="仿宋"/>
          <w:sz w:val="32"/>
          <w:szCs w:val="32"/>
        </w:rPr>
        <w:t>可计提收益的无形资产净值，根据监审期间最末1年可摊销计入定价成本的无形资产期末数所对应的账面净值核定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可计提收益的营运资本,指供水企业为提供供水服务</w:t>
      </w:r>
      <w:r>
        <w:rPr>
          <w:rFonts w:hint="eastAsia" w:ascii="仿宋" w:hAnsi="仿宋" w:eastAsia="仿宋" w:cs="仿宋"/>
          <w:sz w:val="32"/>
          <w:szCs w:val="32"/>
          <w:lang w:eastAsia="zh-CN"/>
        </w:rPr>
        <w:t>，</w:t>
      </w:r>
      <w:r>
        <w:rPr>
          <w:rFonts w:hint="eastAsia" w:ascii="仿宋" w:hAnsi="仿宋" w:eastAsia="仿宋" w:cs="仿宋"/>
          <w:sz w:val="32"/>
          <w:szCs w:val="32"/>
        </w:rPr>
        <w:t>除固定资产、无形资产投资以外的正常运营所需要的周转资金。可计提收益的营运资本，按照不高于成本监审期间运行维护费年平均值的1/6核定。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第十七条</w:t>
      </w:r>
      <w:r>
        <w:rPr>
          <w:rFonts w:hint="eastAsia" w:ascii="仿宋" w:hAnsi="仿宋" w:eastAsia="仿宋" w:cs="仿宋"/>
          <w:sz w:val="32"/>
          <w:szCs w:val="32"/>
        </w:rPr>
        <w:t xml:space="preserve"> 城镇供水定价成本计算公式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定价单位成本</w:t>
      </w:r>
      <w:r>
        <w:rPr>
          <w:rFonts w:hint="eastAsia" w:ascii="仿宋" w:hAnsi="仿宋" w:eastAsia="仿宋" w:cs="仿宋"/>
          <w:sz w:val="32"/>
          <w:szCs w:val="32"/>
          <w:lang w:eastAsia="zh-CN"/>
        </w:rPr>
        <w:t>＝</w:t>
      </w:r>
      <w:r>
        <w:rPr>
          <w:rFonts w:hint="eastAsia" w:ascii="仿宋" w:hAnsi="仿宋" w:eastAsia="仿宋" w:cs="仿宋"/>
          <w:sz w:val="32"/>
          <w:szCs w:val="32"/>
        </w:rPr>
        <w:t>定价总成本/核定供水量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定价总成本</w:t>
      </w:r>
      <w:r>
        <w:rPr>
          <w:rFonts w:hint="eastAsia" w:ascii="仿宋" w:hAnsi="仿宋" w:eastAsia="仿宋" w:cs="仿宋"/>
          <w:sz w:val="32"/>
          <w:szCs w:val="32"/>
          <w:lang w:eastAsia="zh-CN"/>
        </w:rPr>
        <w:t>＝</w:t>
      </w:r>
      <w:r>
        <w:rPr>
          <w:rFonts w:hint="eastAsia" w:ascii="仿宋" w:hAnsi="仿宋" w:eastAsia="仿宋" w:cs="仿宋"/>
          <w:sz w:val="32"/>
          <w:szCs w:val="32"/>
        </w:rPr>
        <w:t>固定资产折旧费</w:t>
      </w:r>
      <w:r>
        <w:rPr>
          <w:rFonts w:hint="eastAsia" w:ascii="仿宋" w:hAnsi="仿宋" w:eastAsia="仿宋" w:cs="仿宋"/>
          <w:sz w:val="32"/>
          <w:szCs w:val="32"/>
          <w:lang w:eastAsia="zh-CN"/>
        </w:rPr>
        <w:t>＋</w:t>
      </w:r>
      <w:r>
        <w:rPr>
          <w:rFonts w:hint="eastAsia" w:ascii="仿宋" w:hAnsi="仿宋" w:eastAsia="仿宋" w:cs="仿宋"/>
          <w:sz w:val="32"/>
          <w:szCs w:val="32"/>
        </w:rPr>
        <w:t>无形资产摊销费</w:t>
      </w:r>
      <w:r>
        <w:rPr>
          <w:rFonts w:hint="eastAsia" w:ascii="仿宋" w:hAnsi="仿宋" w:eastAsia="仿宋" w:cs="仿宋"/>
          <w:sz w:val="32"/>
          <w:szCs w:val="32"/>
          <w:lang w:eastAsia="zh-CN"/>
        </w:rPr>
        <w:t>＋</w:t>
      </w:r>
      <w:r>
        <w:rPr>
          <w:rFonts w:hint="eastAsia" w:ascii="仿宋" w:hAnsi="仿宋" w:eastAsia="仿宋" w:cs="仿宋"/>
          <w:sz w:val="32"/>
          <w:szCs w:val="32"/>
        </w:rPr>
        <w:t>运行维护费</w:t>
      </w:r>
      <w:r>
        <w:rPr>
          <w:rFonts w:hint="eastAsia" w:ascii="仿宋" w:hAnsi="仿宋" w:eastAsia="仿宋" w:cs="仿宋"/>
          <w:sz w:val="32"/>
          <w:szCs w:val="32"/>
          <w:lang w:eastAsia="zh-CN"/>
        </w:rPr>
        <w:t>－</w:t>
      </w:r>
      <w:r>
        <w:rPr>
          <w:rFonts w:hint="eastAsia" w:ascii="仿宋" w:hAnsi="仿宋" w:eastAsia="仿宋" w:cs="仿宋"/>
          <w:sz w:val="32"/>
          <w:szCs w:val="32"/>
        </w:rPr>
        <w:t>应冲减总成本的费用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核定供水量</w:t>
      </w:r>
      <w:r>
        <w:rPr>
          <w:rFonts w:hint="eastAsia" w:ascii="仿宋" w:hAnsi="仿宋" w:eastAsia="仿宋" w:cs="仿宋"/>
          <w:sz w:val="32"/>
          <w:szCs w:val="32"/>
          <w:lang w:eastAsia="zh-CN"/>
        </w:rPr>
        <w:t>＝</w:t>
      </w:r>
      <w:r>
        <w:rPr>
          <w:rFonts w:hint="eastAsia" w:ascii="仿宋" w:hAnsi="仿宋" w:eastAsia="仿宋" w:cs="仿宋"/>
          <w:sz w:val="32"/>
          <w:szCs w:val="32"/>
        </w:rPr>
        <w:t>取水量</w:t>
      </w: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自用水率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1-漏损率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取水量、自用水率和漏损率的核定。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取水量包括取用原水量和外购成品水量。原水量指供水企业实际取用的全部原水量</w:t>
      </w:r>
      <w:r>
        <w:rPr>
          <w:rFonts w:hint="eastAsia" w:ascii="仿宋" w:hAnsi="仿宋" w:eastAsia="仿宋" w:cs="仿宋"/>
          <w:sz w:val="32"/>
          <w:szCs w:val="32"/>
          <w:lang w:eastAsia="zh-CN"/>
        </w:rPr>
        <w:t>；</w:t>
      </w:r>
      <w:r>
        <w:rPr>
          <w:rFonts w:hint="eastAsia" w:ascii="仿宋" w:hAnsi="仿宋" w:eastAsia="仿宋" w:cs="仿宋"/>
          <w:sz w:val="32"/>
          <w:szCs w:val="32"/>
        </w:rPr>
        <w:t>外购成品水量指供水企业实际从外部购入的全部成品水量。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供水企业自用水率原则上据实核定，但上限标准应当在水厂设计水量的5-10%范围内，根据《室外给水设计标准》</w:t>
      </w:r>
      <w:r>
        <w:rPr>
          <w:rFonts w:hint="eastAsia" w:ascii="仿宋" w:hAnsi="仿宋" w:eastAsia="仿宋" w:cs="仿宋"/>
          <w:sz w:val="32"/>
          <w:szCs w:val="32"/>
          <w:lang w:eastAsia="zh-CN"/>
        </w:rPr>
        <w:t>（</w:t>
      </w:r>
      <w:r>
        <w:rPr>
          <w:rFonts w:hint="eastAsia" w:ascii="仿宋" w:hAnsi="仿宋" w:eastAsia="仿宋" w:cs="仿宋"/>
          <w:sz w:val="32"/>
          <w:szCs w:val="32"/>
        </w:rPr>
        <w:t>GB50013</w:t>
      </w:r>
      <w:r>
        <w:rPr>
          <w:rFonts w:hint="eastAsia" w:ascii="仿宋" w:hAnsi="仿宋" w:eastAsia="仿宋" w:cs="仿宋"/>
          <w:sz w:val="32"/>
          <w:szCs w:val="32"/>
          <w:lang w:eastAsia="zh-CN"/>
        </w:rPr>
        <w:t>）</w:t>
      </w:r>
      <w:r>
        <w:rPr>
          <w:rFonts w:hint="eastAsia" w:ascii="仿宋" w:hAnsi="仿宋" w:eastAsia="仿宋" w:cs="仿宋"/>
          <w:sz w:val="32"/>
          <w:szCs w:val="32"/>
        </w:rPr>
        <w:t>有关规定，区分原水水质、处理工艺和构筑物类型等因素确定。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漏损率原则上按照《城镇供水管网漏损控制及评定标准》</w:t>
      </w:r>
      <w:r>
        <w:rPr>
          <w:rFonts w:hint="eastAsia" w:ascii="仿宋" w:hAnsi="仿宋" w:eastAsia="仿宋" w:cs="仿宋"/>
          <w:sz w:val="32"/>
          <w:szCs w:val="32"/>
          <w:lang w:eastAsia="zh-CN"/>
        </w:rPr>
        <w:t>（</w:t>
      </w:r>
      <w:r>
        <w:rPr>
          <w:rFonts w:hint="eastAsia" w:ascii="仿宋" w:hAnsi="仿宋" w:eastAsia="仿宋" w:cs="仿宋"/>
          <w:sz w:val="32"/>
          <w:szCs w:val="32"/>
        </w:rPr>
        <w:t>GJJ92</w:t>
      </w:r>
      <w:r>
        <w:rPr>
          <w:rFonts w:hint="eastAsia" w:ascii="仿宋" w:hAnsi="仿宋" w:eastAsia="仿宋" w:cs="仿宋"/>
          <w:sz w:val="32"/>
          <w:szCs w:val="32"/>
          <w:lang w:eastAsia="zh-CN"/>
        </w:rPr>
        <w:t>）</w:t>
      </w:r>
      <w:r>
        <w:rPr>
          <w:rFonts w:hint="eastAsia" w:ascii="仿宋" w:hAnsi="仿宋" w:eastAsia="仿宋" w:cs="仿宋"/>
          <w:sz w:val="32"/>
          <w:szCs w:val="32"/>
        </w:rPr>
        <w:t>确定的一级评定标准10%计算，漏损率高于一级评定标准的，超出部分不得计入成本。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《城镇供水定价成本监审办法》</w:t>
      </w:r>
      <w:r>
        <w:rPr>
          <w:rFonts w:hint="eastAsia" w:ascii="仿宋" w:hAnsi="仿宋" w:eastAsia="仿宋" w:cs="仿宋"/>
          <w:sz w:val="32"/>
          <w:szCs w:val="32"/>
          <w:lang w:eastAsia="zh-CN"/>
        </w:rPr>
        <w:t>（</w:t>
      </w:r>
      <w:r>
        <w:rPr>
          <w:rFonts w:hint="eastAsia" w:ascii="仿宋" w:hAnsi="仿宋" w:eastAsia="仿宋" w:cs="仿宋"/>
          <w:sz w:val="32"/>
          <w:szCs w:val="32"/>
        </w:rPr>
        <w:t>国家发展改革委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住房和城乡建设部2021年45号令</w:t>
      </w:r>
      <w:r>
        <w:rPr>
          <w:rFonts w:hint="eastAsia" w:ascii="仿宋" w:hAnsi="仿宋" w:eastAsia="仿宋" w:cs="仿宋"/>
          <w:sz w:val="32"/>
          <w:szCs w:val="32"/>
          <w:lang w:eastAsia="zh-CN"/>
        </w:rPr>
        <w:t>）</w:t>
      </w:r>
      <w:r>
        <w:rPr>
          <w:rFonts w:hint="eastAsia" w:ascii="仿宋" w:hAnsi="仿宋" w:eastAsia="仿宋" w:cs="仿宋"/>
          <w:sz w:val="32"/>
          <w:szCs w:val="32"/>
        </w:rPr>
        <w:t>和本细则未具体规定审核标准的其他费用，有关法律法规和</w:t>
      </w:r>
      <w:r>
        <w:rPr>
          <w:rFonts w:hint="eastAsia" w:ascii="仿宋" w:hAnsi="仿宋" w:eastAsia="仿宋" w:cs="仿宋"/>
          <w:sz w:val="32"/>
          <w:szCs w:val="32"/>
          <w:lang w:eastAsia="zh-CN"/>
        </w:rPr>
        <w:t>国家</w:t>
      </w:r>
      <w:r>
        <w:rPr>
          <w:rFonts w:hint="eastAsia" w:ascii="仿宋" w:hAnsi="仿宋" w:eastAsia="仿宋" w:cs="仿宋"/>
          <w:sz w:val="32"/>
          <w:szCs w:val="32"/>
        </w:rPr>
        <w:t>政策已明确规定核算原则和标准的，按照相关规定核定;未明确规定的，原则上据实核定，但应符合公允水平。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城镇供水定价成本监审中供水企业的义务按《城镇供水定价成本监审办法》(国家发展改革委 住房和城乡建设部2021年45号令)有关规定执行。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本细则由</w:t>
      </w:r>
      <w:r>
        <w:rPr>
          <w:rFonts w:hint="eastAsia" w:ascii="仿宋" w:hAnsi="仿宋" w:eastAsia="仿宋" w:cs="仿宋"/>
          <w:sz w:val="32"/>
          <w:szCs w:val="32"/>
          <w:lang w:eastAsia="zh-CN"/>
        </w:rPr>
        <w:t>海南省</w:t>
      </w:r>
      <w:r>
        <w:rPr>
          <w:rFonts w:hint="eastAsia" w:ascii="仿宋" w:hAnsi="仿宋" w:eastAsia="仿宋" w:cs="仿宋"/>
          <w:sz w:val="32"/>
          <w:szCs w:val="32"/>
        </w:rPr>
        <w:t>发展改革委会同</w:t>
      </w:r>
      <w:r>
        <w:rPr>
          <w:rFonts w:hint="eastAsia" w:ascii="仿宋" w:hAnsi="仿宋" w:eastAsia="仿宋" w:cs="仿宋"/>
          <w:sz w:val="32"/>
          <w:szCs w:val="32"/>
          <w:lang w:eastAsia="zh-CN"/>
        </w:rPr>
        <w:t>海南省水务</w:t>
      </w:r>
      <w:r>
        <w:rPr>
          <w:rFonts w:hint="eastAsia" w:ascii="仿宋" w:hAnsi="仿宋" w:eastAsia="仿宋" w:cs="仿宋"/>
          <w:sz w:val="32"/>
          <w:szCs w:val="32"/>
        </w:rPr>
        <w:t>厅负责解释。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本细则自2022年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日起施行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rPr>
        <w:t>城镇供水企业固定资产分类折旧年限表</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黑体" w:hAnsi="黑体" w:eastAsia="黑体" w:cs="黑体"/>
          <w:sz w:val="32"/>
          <w:szCs w:val="32"/>
        </w:rPr>
        <w:t>附件</w:t>
      </w:r>
    </w:p>
    <w:p>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固定资产折旧年限表</w:t>
      </w:r>
    </w:p>
    <w:tbl>
      <w:tblPr>
        <w:tblStyle w:val="4"/>
        <w:tblW w:w="8817" w:type="dxa"/>
        <w:tblInd w:w="0" w:type="dxa"/>
        <w:tblLayout w:type="fixed"/>
        <w:tblCellMar>
          <w:top w:w="0" w:type="dxa"/>
          <w:left w:w="108" w:type="dxa"/>
          <w:bottom w:w="0" w:type="dxa"/>
          <w:right w:w="108" w:type="dxa"/>
        </w:tblCellMar>
      </w:tblPr>
      <w:tblGrid>
        <w:gridCol w:w="2427"/>
        <w:gridCol w:w="3480"/>
        <w:gridCol w:w="2910"/>
      </w:tblGrid>
      <w:tr>
        <w:tblPrEx>
          <w:tblLayout w:type="fixed"/>
          <w:tblCellMar>
            <w:top w:w="0" w:type="dxa"/>
            <w:left w:w="108" w:type="dxa"/>
            <w:bottom w:w="0" w:type="dxa"/>
            <w:right w:w="108" w:type="dxa"/>
          </w:tblCellMar>
        </w:tblPrEx>
        <w:trPr>
          <w:trHeight w:val="648" w:hRule="atLeast"/>
        </w:trPr>
        <w:tc>
          <w:tcPr>
            <w:tcW w:w="24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eastAsia="仿宋_GB2312"/>
                <w:b/>
                <w:bCs/>
                <w:kern w:val="0"/>
                <w:sz w:val="24"/>
              </w:rPr>
            </w:pPr>
            <w:r>
              <w:rPr>
                <w:rFonts w:eastAsia="仿宋_GB2312"/>
                <w:b/>
                <w:bCs/>
                <w:kern w:val="0"/>
                <w:sz w:val="24"/>
              </w:rPr>
              <w:t>固定资产类别</w:t>
            </w:r>
          </w:p>
        </w:tc>
        <w:tc>
          <w:tcPr>
            <w:tcW w:w="348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eastAsia="仿宋_GB2312"/>
                <w:b/>
                <w:bCs/>
                <w:kern w:val="0"/>
                <w:sz w:val="24"/>
              </w:rPr>
            </w:pPr>
            <w:r>
              <w:rPr>
                <w:rFonts w:eastAsia="仿宋_GB2312"/>
                <w:b/>
                <w:bCs/>
                <w:kern w:val="0"/>
                <w:sz w:val="24"/>
              </w:rPr>
              <w:t>内容</w:t>
            </w:r>
          </w:p>
        </w:tc>
        <w:tc>
          <w:tcPr>
            <w:tcW w:w="291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eastAsia="仿宋_GB2312"/>
                <w:b/>
                <w:bCs/>
                <w:kern w:val="0"/>
                <w:sz w:val="24"/>
              </w:rPr>
            </w:pPr>
            <w:r>
              <w:rPr>
                <w:rFonts w:eastAsia="仿宋_GB2312"/>
                <w:b/>
                <w:bCs/>
                <w:kern w:val="0"/>
                <w:sz w:val="24"/>
              </w:rPr>
              <w:t>折旧年限（年）</w:t>
            </w:r>
          </w:p>
        </w:tc>
      </w:tr>
      <w:tr>
        <w:tblPrEx>
          <w:tblLayout w:type="fixed"/>
          <w:tblCellMar>
            <w:top w:w="0" w:type="dxa"/>
            <w:left w:w="108" w:type="dxa"/>
            <w:bottom w:w="0" w:type="dxa"/>
            <w:right w:w="108" w:type="dxa"/>
          </w:tblCellMar>
        </w:tblPrEx>
        <w:trPr>
          <w:cantSplit/>
          <w:trHeight w:val="540" w:hRule="exact"/>
        </w:trPr>
        <w:tc>
          <w:tcPr>
            <w:tcW w:w="2427" w:type="dxa"/>
            <w:vMerge w:val="restart"/>
            <w:tcBorders>
              <w:top w:val="nil"/>
              <w:left w:val="single" w:color="auto" w:sz="4" w:space="0"/>
              <w:bottom w:val="single" w:color="auto" w:sz="4" w:space="0"/>
              <w:right w:val="single" w:color="auto" w:sz="4" w:space="0"/>
            </w:tcBorders>
            <w:noWrap/>
            <w:vAlign w:val="center"/>
          </w:tcPr>
          <w:p>
            <w:pPr>
              <w:widowControl/>
              <w:spacing w:line="360" w:lineRule="auto"/>
              <w:jc w:val="center"/>
              <w:rPr>
                <w:rFonts w:eastAsia="仿宋_GB2312"/>
                <w:kern w:val="0"/>
                <w:sz w:val="22"/>
              </w:rPr>
            </w:pPr>
            <w:r>
              <w:rPr>
                <w:rFonts w:eastAsia="仿宋_GB2312"/>
                <w:kern w:val="0"/>
                <w:sz w:val="22"/>
              </w:rPr>
              <w:t>房屋及构筑物</w:t>
            </w:r>
          </w:p>
        </w:tc>
        <w:tc>
          <w:tcPr>
            <w:tcW w:w="3480" w:type="dxa"/>
            <w:tcBorders>
              <w:top w:val="nil"/>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生产用房</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eastAsia="仿宋_GB2312"/>
                <w:kern w:val="0"/>
                <w:sz w:val="22"/>
              </w:rPr>
              <w:t>30</w:t>
            </w:r>
            <w:r>
              <w:rPr>
                <w:rFonts w:hint="eastAsia" w:eastAsia="仿宋_GB2312"/>
                <w:kern w:val="0"/>
                <w:sz w:val="22"/>
                <w:lang w:val="en-US" w:eastAsia="zh-CN"/>
              </w:rPr>
              <w:t>-40</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single" w:color="auto" w:sz="4" w:space="0"/>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受腐蚀生产用房</w:t>
            </w:r>
          </w:p>
        </w:tc>
        <w:tc>
          <w:tcPr>
            <w:tcW w:w="2910" w:type="dxa"/>
            <w:tcBorders>
              <w:top w:val="single" w:color="auto" w:sz="4" w:space="0"/>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eastAsia="仿宋_GB2312"/>
                <w:kern w:val="0"/>
                <w:sz w:val="22"/>
              </w:rPr>
              <w:t>20</w:t>
            </w:r>
            <w:r>
              <w:rPr>
                <w:rFonts w:hint="eastAsia" w:eastAsia="仿宋_GB2312"/>
                <w:kern w:val="0"/>
                <w:sz w:val="22"/>
                <w:lang w:val="en-US" w:eastAsia="zh-CN"/>
              </w:rPr>
              <w:t>-25</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single" w:color="auto" w:sz="4" w:space="0"/>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非生产用房</w:t>
            </w:r>
          </w:p>
        </w:tc>
        <w:tc>
          <w:tcPr>
            <w:tcW w:w="2910" w:type="dxa"/>
            <w:tcBorders>
              <w:top w:val="single" w:color="auto" w:sz="4" w:space="0"/>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hint="eastAsia" w:eastAsia="仿宋_GB2312"/>
                <w:kern w:val="0"/>
                <w:sz w:val="22"/>
                <w:lang w:val="en-US" w:eastAsia="zh-CN"/>
              </w:rPr>
              <w:t>50</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single" w:color="auto" w:sz="4" w:space="0"/>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简易房</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eastAsia="仿宋_GB2312"/>
                <w:kern w:val="0"/>
                <w:sz w:val="22"/>
              </w:rPr>
              <w:t>8</w:t>
            </w:r>
            <w:r>
              <w:rPr>
                <w:rFonts w:hint="eastAsia" w:eastAsia="仿宋_GB2312"/>
                <w:kern w:val="0"/>
                <w:sz w:val="22"/>
                <w:lang w:val="en-US" w:eastAsia="zh-CN"/>
              </w:rPr>
              <w:t>-10</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single" w:color="auto" w:sz="4" w:space="0"/>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房屋附属设施</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8</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构筑物</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8</w:t>
            </w:r>
          </w:p>
        </w:tc>
      </w:tr>
      <w:tr>
        <w:tblPrEx>
          <w:tblLayout w:type="fixed"/>
          <w:tblCellMar>
            <w:top w:w="0" w:type="dxa"/>
            <w:left w:w="108" w:type="dxa"/>
            <w:bottom w:w="0" w:type="dxa"/>
            <w:right w:w="108" w:type="dxa"/>
          </w:tblCellMar>
        </w:tblPrEx>
        <w:trPr>
          <w:cantSplit/>
          <w:trHeight w:val="540" w:hRule="exact"/>
        </w:trPr>
        <w:tc>
          <w:tcPr>
            <w:tcW w:w="2427" w:type="dxa"/>
            <w:vMerge w:val="restart"/>
            <w:tcBorders>
              <w:top w:val="nil"/>
              <w:left w:val="single" w:color="auto" w:sz="4" w:space="0"/>
              <w:bottom w:val="single" w:color="auto" w:sz="4" w:space="0"/>
              <w:right w:val="single" w:color="auto" w:sz="4" w:space="0"/>
            </w:tcBorders>
            <w:noWrap/>
            <w:vAlign w:val="center"/>
          </w:tcPr>
          <w:p>
            <w:pPr>
              <w:widowControl/>
              <w:spacing w:line="360" w:lineRule="auto"/>
              <w:jc w:val="center"/>
              <w:rPr>
                <w:rFonts w:eastAsia="仿宋_GB2312"/>
                <w:kern w:val="0"/>
                <w:sz w:val="22"/>
              </w:rPr>
            </w:pPr>
            <w:r>
              <w:rPr>
                <w:rFonts w:eastAsia="仿宋_GB2312"/>
                <w:kern w:val="0"/>
                <w:sz w:val="22"/>
              </w:rPr>
              <w:t>通用设备</w:t>
            </w:r>
          </w:p>
        </w:tc>
        <w:tc>
          <w:tcPr>
            <w:tcW w:w="3480" w:type="dxa"/>
            <w:tcBorders>
              <w:top w:val="nil"/>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hint="eastAsia" w:eastAsia="仿宋_GB2312"/>
                <w:kern w:val="0"/>
                <w:sz w:val="22"/>
                <w:lang w:eastAsia="zh-CN"/>
              </w:rPr>
              <w:t>电子</w:t>
            </w:r>
            <w:r>
              <w:rPr>
                <w:rFonts w:eastAsia="仿宋_GB2312"/>
                <w:kern w:val="0"/>
                <w:sz w:val="22"/>
              </w:rPr>
              <w:t>设备</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hint="eastAsia" w:eastAsia="仿宋_GB2312"/>
                <w:kern w:val="0"/>
                <w:sz w:val="22"/>
                <w:lang w:val="en-US" w:eastAsia="zh-CN"/>
              </w:rPr>
              <w:t>5-10</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办公设备</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eastAsia="仿宋_GB2312"/>
                <w:kern w:val="0"/>
                <w:sz w:val="22"/>
              </w:rPr>
              <w:t>6</w:t>
            </w:r>
            <w:r>
              <w:rPr>
                <w:rFonts w:hint="eastAsia" w:eastAsia="仿宋_GB2312"/>
                <w:kern w:val="0"/>
                <w:sz w:val="22"/>
                <w:lang w:val="en-US" w:eastAsia="zh-CN"/>
              </w:rPr>
              <w:t>-8</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车辆</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eastAsia="仿宋_GB2312"/>
                <w:kern w:val="0"/>
                <w:sz w:val="22"/>
              </w:rPr>
              <w:t>8</w:t>
            </w:r>
            <w:r>
              <w:rPr>
                <w:rFonts w:hint="eastAsia" w:eastAsia="仿宋_GB2312"/>
                <w:kern w:val="0"/>
                <w:sz w:val="22"/>
                <w:lang w:val="en-US" w:eastAsia="zh-CN"/>
              </w:rPr>
              <w:t>-10</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机</w:t>
            </w:r>
            <w:r>
              <w:rPr>
                <w:rFonts w:hint="eastAsia" w:eastAsia="仿宋_GB2312"/>
                <w:kern w:val="0"/>
                <w:sz w:val="22"/>
                <w:lang w:eastAsia="zh-CN"/>
              </w:rPr>
              <w:t>械</w:t>
            </w:r>
            <w:r>
              <w:rPr>
                <w:rFonts w:eastAsia="仿宋_GB2312"/>
                <w:kern w:val="0"/>
                <w:sz w:val="22"/>
              </w:rPr>
              <w:t>设备</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eastAsia="仿宋_GB2312"/>
                <w:kern w:val="0"/>
                <w:sz w:val="22"/>
              </w:rPr>
            </w:pPr>
            <w:r>
              <w:rPr>
                <w:rFonts w:eastAsia="仿宋_GB2312"/>
                <w:kern w:val="0"/>
                <w:sz w:val="22"/>
              </w:rPr>
              <w:t>10</w:t>
            </w:r>
          </w:p>
        </w:tc>
      </w:tr>
      <w:tr>
        <w:tblPrEx>
          <w:tblLayout w:type="fixed"/>
          <w:tblCellMar>
            <w:top w:w="0" w:type="dxa"/>
            <w:left w:w="108" w:type="dxa"/>
            <w:bottom w:w="0" w:type="dxa"/>
            <w:right w:w="108" w:type="dxa"/>
          </w:tblCellMar>
        </w:tblPrEx>
        <w:trPr>
          <w:cantSplit/>
          <w:trHeight w:val="540" w:hRule="exact"/>
        </w:trPr>
        <w:tc>
          <w:tcPr>
            <w:tcW w:w="2427" w:type="dxa"/>
            <w:vMerge w:val="restart"/>
            <w:tcBorders>
              <w:top w:val="nil"/>
              <w:left w:val="single" w:color="auto" w:sz="4" w:space="0"/>
              <w:bottom w:val="single" w:color="auto" w:sz="4" w:space="0"/>
              <w:right w:val="single" w:color="auto" w:sz="4" w:space="0"/>
            </w:tcBorders>
            <w:noWrap/>
            <w:vAlign w:val="center"/>
          </w:tcPr>
          <w:p>
            <w:pPr>
              <w:widowControl/>
              <w:spacing w:line="360" w:lineRule="auto"/>
              <w:jc w:val="center"/>
              <w:rPr>
                <w:rFonts w:eastAsia="仿宋_GB2312"/>
                <w:kern w:val="0"/>
                <w:sz w:val="22"/>
              </w:rPr>
            </w:pPr>
            <w:r>
              <w:rPr>
                <w:rFonts w:eastAsia="仿宋_GB2312"/>
                <w:kern w:val="0"/>
                <w:sz w:val="22"/>
              </w:rPr>
              <w:t>专用设备</w:t>
            </w:r>
          </w:p>
        </w:tc>
        <w:tc>
          <w:tcPr>
            <w:tcW w:w="3480" w:type="dxa"/>
            <w:tcBorders>
              <w:top w:val="nil"/>
              <w:left w:val="nil"/>
              <w:bottom w:val="single" w:color="auto" w:sz="4" w:space="0"/>
              <w:right w:val="single" w:color="auto" w:sz="4" w:space="0"/>
            </w:tcBorders>
            <w:noWrap/>
            <w:vAlign w:val="center"/>
          </w:tcPr>
          <w:p>
            <w:pPr>
              <w:spacing w:line="360" w:lineRule="auto"/>
              <w:jc w:val="center"/>
              <w:rPr>
                <w:rFonts w:hint="eastAsia" w:eastAsia="仿宋_GB2312"/>
                <w:kern w:val="0"/>
                <w:sz w:val="22"/>
                <w:lang w:eastAsia="zh-CN"/>
              </w:rPr>
            </w:pPr>
            <w:r>
              <w:rPr>
                <w:rFonts w:hint="eastAsia" w:eastAsia="仿宋_GB2312"/>
                <w:kern w:val="0"/>
                <w:sz w:val="22"/>
                <w:lang w:eastAsia="zh-CN"/>
              </w:rPr>
              <w:t>水表</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hint="eastAsia" w:eastAsia="仿宋_GB2312"/>
                <w:kern w:val="0"/>
                <w:sz w:val="22"/>
                <w:lang w:val="en-US" w:eastAsia="zh-CN"/>
              </w:rPr>
              <w:t>6-8</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single" w:color="auto" w:sz="4" w:space="0"/>
              <w:right w:val="single" w:color="auto" w:sz="4" w:space="0"/>
            </w:tcBorders>
            <w:noWrap/>
            <w:vAlign w:val="center"/>
          </w:tcPr>
          <w:p>
            <w:pPr>
              <w:spacing w:line="360" w:lineRule="auto"/>
              <w:jc w:val="center"/>
              <w:rPr>
                <w:rFonts w:hint="eastAsia" w:eastAsia="仿宋_GB2312"/>
                <w:kern w:val="0"/>
                <w:sz w:val="22"/>
                <w:lang w:eastAsia="zh-CN"/>
              </w:rPr>
            </w:pPr>
            <w:r>
              <w:rPr>
                <w:rFonts w:hint="eastAsia" w:eastAsia="仿宋_GB2312"/>
                <w:kern w:val="0"/>
                <w:sz w:val="22"/>
                <w:lang w:eastAsia="zh-CN"/>
              </w:rPr>
              <w:t>生产设备</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eastAsia="仿宋_GB2312"/>
                <w:kern w:val="0"/>
                <w:sz w:val="22"/>
              </w:rPr>
              <w:t>10-</w:t>
            </w:r>
            <w:r>
              <w:rPr>
                <w:rFonts w:hint="eastAsia" w:eastAsia="仿宋_GB2312"/>
                <w:kern w:val="0"/>
                <w:sz w:val="22"/>
                <w:lang w:val="en-US" w:eastAsia="zh-CN"/>
              </w:rPr>
              <w:t>20</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single" w:color="auto" w:sz="4" w:space="0"/>
              <w:right w:val="single" w:color="auto" w:sz="4" w:space="0"/>
            </w:tcBorders>
            <w:noWrap/>
            <w:vAlign w:val="center"/>
          </w:tcPr>
          <w:p>
            <w:pPr>
              <w:widowControl/>
              <w:spacing w:line="360" w:lineRule="auto"/>
              <w:jc w:val="center"/>
              <w:rPr>
                <w:rFonts w:hint="eastAsia" w:eastAsia="仿宋_GB2312"/>
                <w:kern w:val="0"/>
                <w:sz w:val="22"/>
                <w:lang w:eastAsia="zh-CN"/>
              </w:rPr>
            </w:pPr>
            <w:r>
              <w:rPr>
                <w:rFonts w:eastAsia="仿宋_GB2312"/>
                <w:kern w:val="0"/>
                <w:sz w:val="22"/>
              </w:rPr>
              <w:t>生产</w:t>
            </w:r>
            <w:r>
              <w:rPr>
                <w:rFonts w:hint="eastAsia" w:eastAsia="仿宋_GB2312"/>
                <w:kern w:val="0"/>
                <w:sz w:val="22"/>
                <w:lang w:eastAsia="zh-CN"/>
              </w:rPr>
              <w:t>管理用工器具</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eastAsia="仿宋_GB2312"/>
                <w:kern w:val="0"/>
                <w:sz w:val="22"/>
              </w:rPr>
              <w:t>5</w:t>
            </w:r>
            <w:r>
              <w:rPr>
                <w:rFonts w:hint="eastAsia" w:eastAsia="仿宋_GB2312"/>
                <w:kern w:val="0"/>
                <w:sz w:val="22"/>
                <w:lang w:val="en-US" w:eastAsia="zh-CN"/>
              </w:rPr>
              <w:t>-15</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single" w:color="auto" w:sz="4" w:space="0"/>
              <w:right w:val="single" w:color="auto" w:sz="4" w:space="0"/>
            </w:tcBorders>
            <w:noWrap/>
            <w:vAlign w:val="center"/>
          </w:tcPr>
          <w:p>
            <w:pPr>
              <w:widowControl/>
              <w:tabs>
                <w:tab w:val="center" w:pos="4153"/>
                <w:tab w:val="right" w:pos="8306"/>
              </w:tabs>
              <w:snapToGrid w:val="0"/>
              <w:spacing w:line="360" w:lineRule="auto"/>
              <w:jc w:val="center"/>
              <w:rPr>
                <w:rFonts w:eastAsia="仿宋_GB2312"/>
                <w:kern w:val="0"/>
                <w:sz w:val="22"/>
              </w:rPr>
            </w:pPr>
            <w:r>
              <w:rPr>
                <w:rFonts w:hint="eastAsia" w:eastAsia="仿宋_GB2312"/>
                <w:kern w:val="0"/>
                <w:sz w:val="22"/>
                <w:lang w:eastAsia="zh-CN"/>
              </w:rPr>
              <w:t>辅助</w:t>
            </w:r>
            <w:r>
              <w:rPr>
                <w:rFonts w:eastAsia="仿宋_GB2312"/>
                <w:kern w:val="0"/>
                <w:sz w:val="22"/>
              </w:rPr>
              <w:t>生产</w:t>
            </w:r>
            <w:r>
              <w:rPr>
                <w:rFonts w:hint="eastAsia" w:eastAsia="仿宋_GB2312"/>
                <w:kern w:val="0"/>
                <w:sz w:val="22"/>
                <w:lang w:eastAsia="zh-CN"/>
              </w:rPr>
              <w:t>类设备及器具</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hint="eastAsia" w:eastAsia="仿宋_GB2312"/>
                <w:kern w:val="0"/>
                <w:sz w:val="22"/>
                <w:lang w:val="en-US" w:eastAsia="zh-CN"/>
              </w:rPr>
              <w:t>15-20</w:t>
            </w:r>
          </w:p>
        </w:tc>
      </w:tr>
      <w:tr>
        <w:tblPrEx>
          <w:tblLayout w:type="fixed"/>
          <w:tblCellMar>
            <w:top w:w="0" w:type="dxa"/>
            <w:left w:w="108" w:type="dxa"/>
            <w:bottom w:w="0" w:type="dxa"/>
            <w:right w:w="108" w:type="dxa"/>
          </w:tblCellMar>
        </w:tblPrEx>
        <w:trPr>
          <w:cantSplit/>
          <w:trHeight w:val="540" w:hRule="exact"/>
        </w:trPr>
        <w:tc>
          <w:tcPr>
            <w:tcW w:w="242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single" w:color="auto" w:sz="4" w:space="0"/>
              <w:right w:val="single" w:color="auto" w:sz="4" w:space="0"/>
            </w:tcBorders>
            <w:noWrap/>
            <w:vAlign w:val="center"/>
          </w:tcPr>
          <w:p>
            <w:pPr>
              <w:widowControl/>
              <w:tabs>
                <w:tab w:val="center" w:pos="4153"/>
                <w:tab w:val="right" w:pos="8306"/>
              </w:tabs>
              <w:snapToGrid w:val="0"/>
              <w:spacing w:line="360" w:lineRule="auto"/>
              <w:jc w:val="center"/>
              <w:rPr>
                <w:rFonts w:hint="eastAsia" w:eastAsia="仿宋_GB2312"/>
                <w:kern w:val="0"/>
                <w:sz w:val="22"/>
                <w:lang w:eastAsia="zh-CN"/>
              </w:rPr>
            </w:pPr>
            <w:r>
              <w:rPr>
                <w:rFonts w:hint="eastAsia" w:eastAsia="仿宋_GB2312"/>
                <w:kern w:val="0"/>
                <w:sz w:val="22"/>
                <w:lang w:eastAsia="zh-CN"/>
              </w:rPr>
              <w:t>自动化</w:t>
            </w:r>
            <w:r>
              <w:rPr>
                <w:rFonts w:eastAsia="仿宋_GB2312"/>
                <w:kern w:val="0"/>
                <w:sz w:val="22"/>
              </w:rPr>
              <w:t>设备</w:t>
            </w:r>
            <w:r>
              <w:rPr>
                <w:rFonts w:hint="eastAsia" w:eastAsia="仿宋_GB2312"/>
                <w:kern w:val="0"/>
                <w:sz w:val="22"/>
                <w:lang w:eastAsia="zh-CN"/>
              </w:rPr>
              <w:t>及仪器仪表</w:t>
            </w: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default" w:eastAsia="仿宋_GB2312"/>
                <w:kern w:val="0"/>
                <w:sz w:val="22"/>
                <w:lang w:val="en-US" w:eastAsia="zh-CN"/>
              </w:rPr>
            </w:pPr>
            <w:r>
              <w:rPr>
                <w:rFonts w:hint="eastAsia" w:eastAsia="仿宋_GB2312"/>
                <w:kern w:val="0"/>
                <w:sz w:val="22"/>
                <w:lang w:val="en-US" w:eastAsia="zh-CN"/>
              </w:rPr>
              <w:t>5-10</w:t>
            </w:r>
          </w:p>
        </w:tc>
      </w:tr>
      <w:tr>
        <w:tblPrEx>
          <w:tblLayout w:type="fixed"/>
          <w:tblCellMar>
            <w:top w:w="0" w:type="dxa"/>
            <w:left w:w="108" w:type="dxa"/>
            <w:bottom w:w="0" w:type="dxa"/>
            <w:right w:w="108" w:type="dxa"/>
          </w:tblCellMar>
        </w:tblPrEx>
        <w:trPr>
          <w:cantSplit/>
          <w:trHeight w:val="540" w:hRule="exact"/>
        </w:trPr>
        <w:tc>
          <w:tcPr>
            <w:tcW w:w="2427" w:type="dxa"/>
            <w:tcBorders>
              <w:top w:val="nil"/>
              <w:left w:val="single" w:color="auto" w:sz="4" w:space="0"/>
              <w:bottom w:val="nil"/>
              <w:right w:val="single" w:color="auto" w:sz="4" w:space="0"/>
            </w:tcBorders>
            <w:noWrap w:val="0"/>
            <w:vAlign w:val="center"/>
          </w:tcPr>
          <w:p>
            <w:pPr>
              <w:widowControl/>
              <w:spacing w:line="360" w:lineRule="auto"/>
              <w:jc w:val="center"/>
              <w:rPr>
                <w:rFonts w:hint="eastAsia" w:eastAsia="仿宋_GB2312"/>
                <w:kern w:val="0"/>
                <w:sz w:val="22"/>
                <w:lang w:eastAsia="zh-CN"/>
              </w:rPr>
            </w:pPr>
            <w:r>
              <w:rPr>
                <w:rFonts w:hint="eastAsia" w:eastAsia="仿宋_GB2312"/>
                <w:kern w:val="0"/>
                <w:sz w:val="22"/>
                <w:lang w:eastAsia="zh-CN"/>
              </w:rPr>
              <w:t>输水管道</w:t>
            </w:r>
          </w:p>
        </w:tc>
        <w:tc>
          <w:tcPr>
            <w:tcW w:w="3480" w:type="dxa"/>
            <w:tcBorders>
              <w:top w:val="nil"/>
              <w:left w:val="nil"/>
              <w:bottom w:val="nil"/>
              <w:right w:val="single" w:color="auto" w:sz="4" w:space="0"/>
            </w:tcBorders>
            <w:noWrap/>
            <w:vAlign w:val="center"/>
          </w:tcPr>
          <w:p>
            <w:pPr>
              <w:widowControl/>
              <w:spacing w:line="360" w:lineRule="auto"/>
              <w:jc w:val="center"/>
              <w:rPr>
                <w:rFonts w:hint="eastAsia" w:eastAsia="仿宋_GB2312"/>
                <w:kern w:val="0"/>
                <w:sz w:val="22"/>
                <w:lang w:eastAsia="zh-CN"/>
              </w:rPr>
            </w:pPr>
            <w:r>
              <w:rPr>
                <w:rFonts w:hint="eastAsia" w:eastAsia="仿宋_GB2312"/>
                <w:kern w:val="0"/>
                <w:sz w:val="22"/>
                <w:lang w:eastAsia="zh-CN"/>
              </w:rPr>
              <w:t>水泥管</w:t>
            </w:r>
          </w:p>
        </w:tc>
        <w:tc>
          <w:tcPr>
            <w:tcW w:w="2910" w:type="dxa"/>
            <w:tcBorders>
              <w:top w:val="nil"/>
              <w:left w:val="nil"/>
              <w:bottom w:val="nil"/>
              <w:right w:val="single" w:color="auto" w:sz="4" w:space="0"/>
            </w:tcBorders>
            <w:noWrap/>
            <w:vAlign w:val="center"/>
          </w:tcPr>
          <w:p>
            <w:pPr>
              <w:spacing w:line="360" w:lineRule="auto"/>
              <w:jc w:val="center"/>
              <w:rPr>
                <w:rFonts w:hint="default" w:eastAsia="仿宋_GB2312"/>
                <w:kern w:val="0"/>
                <w:sz w:val="22"/>
                <w:lang w:val="en-US" w:eastAsia="zh-CN"/>
              </w:rPr>
            </w:pPr>
            <w:r>
              <w:rPr>
                <w:rFonts w:hint="eastAsia" w:eastAsia="仿宋_GB2312"/>
                <w:kern w:val="0"/>
                <w:sz w:val="22"/>
                <w:lang w:val="en-US" w:eastAsia="zh-CN"/>
              </w:rPr>
              <w:t>20-30</w:t>
            </w:r>
          </w:p>
        </w:tc>
      </w:tr>
      <w:tr>
        <w:tblPrEx>
          <w:tblLayout w:type="fixed"/>
          <w:tblCellMar>
            <w:top w:w="0" w:type="dxa"/>
            <w:left w:w="108" w:type="dxa"/>
            <w:bottom w:w="0" w:type="dxa"/>
            <w:right w:w="108" w:type="dxa"/>
          </w:tblCellMar>
        </w:tblPrEx>
        <w:trPr>
          <w:cantSplit/>
          <w:trHeight w:val="540" w:hRule="exact"/>
        </w:trPr>
        <w:tc>
          <w:tcPr>
            <w:tcW w:w="2427" w:type="dxa"/>
            <w:tcBorders>
              <w:top w:val="nil"/>
              <w:left w:val="single" w:color="auto" w:sz="4" w:space="0"/>
              <w:bottom w:val="nil"/>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nil"/>
              <w:right w:val="single" w:color="auto" w:sz="4" w:space="0"/>
            </w:tcBorders>
            <w:noWrap/>
            <w:vAlign w:val="center"/>
          </w:tcPr>
          <w:p>
            <w:pPr>
              <w:widowControl/>
              <w:spacing w:line="360" w:lineRule="auto"/>
              <w:jc w:val="center"/>
              <w:rPr>
                <w:rFonts w:hint="eastAsia" w:eastAsia="仿宋_GB2312"/>
                <w:kern w:val="0"/>
                <w:sz w:val="22"/>
                <w:lang w:eastAsia="zh-CN"/>
              </w:rPr>
            </w:pPr>
            <w:r>
              <w:rPr>
                <w:rFonts w:hint="eastAsia" w:eastAsia="仿宋_GB2312"/>
                <w:kern w:val="0"/>
                <w:sz w:val="22"/>
                <w:lang w:eastAsia="zh-CN"/>
              </w:rPr>
              <w:t>铸铁管</w:t>
            </w:r>
          </w:p>
        </w:tc>
        <w:tc>
          <w:tcPr>
            <w:tcW w:w="2910" w:type="dxa"/>
            <w:tcBorders>
              <w:top w:val="nil"/>
              <w:left w:val="nil"/>
              <w:bottom w:val="nil"/>
              <w:right w:val="single" w:color="auto" w:sz="4" w:space="0"/>
            </w:tcBorders>
            <w:noWrap/>
            <w:vAlign w:val="center"/>
          </w:tcPr>
          <w:p>
            <w:pPr>
              <w:spacing w:line="360" w:lineRule="auto"/>
              <w:jc w:val="center"/>
              <w:rPr>
                <w:rFonts w:hint="default" w:eastAsia="仿宋_GB2312"/>
                <w:kern w:val="0"/>
                <w:sz w:val="22"/>
                <w:lang w:val="en-US" w:eastAsia="zh-CN"/>
              </w:rPr>
            </w:pPr>
            <w:r>
              <w:rPr>
                <w:rFonts w:hint="eastAsia" w:eastAsia="仿宋_GB2312"/>
                <w:kern w:val="0"/>
                <w:sz w:val="22"/>
                <w:lang w:val="en-US" w:eastAsia="zh-CN"/>
              </w:rPr>
              <w:t>30</w:t>
            </w:r>
          </w:p>
        </w:tc>
      </w:tr>
      <w:tr>
        <w:tblPrEx>
          <w:tblLayout w:type="fixed"/>
          <w:tblCellMar>
            <w:top w:w="0" w:type="dxa"/>
            <w:left w:w="108" w:type="dxa"/>
            <w:bottom w:w="0" w:type="dxa"/>
            <w:right w:w="108" w:type="dxa"/>
          </w:tblCellMar>
        </w:tblPrEx>
        <w:trPr>
          <w:cantSplit/>
          <w:trHeight w:val="540" w:hRule="exact"/>
        </w:trPr>
        <w:tc>
          <w:tcPr>
            <w:tcW w:w="2427" w:type="dxa"/>
            <w:tcBorders>
              <w:top w:val="nil"/>
              <w:left w:val="single" w:color="auto" w:sz="4" w:space="0"/>
              <w:bottom w:val="nil"/>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nil"/>
              <w:right w:val="single" w:color="auto" w:sz="4" w:space="0"/>
            </w:tcBorders>
            <w:noWrap/>
            <w:vAlign w:val="center"/>
          </w:tcPr>
          <w:p>
            <w:pPr>
              <w:widowControl/>
              <w:spacing w:line="360" w:lineRule="auto"/>
              <w:jc w:val="center"/>
              <w:rPr>
                <w:rFonts w:hint="eastAsia" w:eastAsia="仿宋_GB2312"/>
                <w:kern w:val="0"/>
                <w:sz w:val="22"/>
                <w:lang w:eastAsia="zh-CN"/>
              </w:rPr>
            </w:pPr>
            <w:r>
              <w:rPr>
                <w:rFonts w:hint="eastAsia" w:eastAsia="仿宋_GB2312"/>
                <w:kern w:val="0"/>
                <w:sz w:val="22"/>
                <w:lang w:eastAsia="zh-CN"/>
              </w:rPr>
              <w:t>钢管</w:t>
            </w:r>
          </w:p>
        </w:tc>
        <w:tc>
          <w:tcPr>
            <w:tcW w:w="2910" w:type="dxa"/>
            <w:tcBorders>
              <w:top w:val="nil"/>
              <w:left w:val="nil"/>
              <w:bottom w:val="nil"/>
              <w:right w:val="single" w:color="auto" w:sz="4" w:space="0"/>
            </w:tcBorders>
            <w:noWrap/>
            <w:vAlign w:val="center"/>
          </w:tcPr>
          <w:p>
            <w:pPr>
              <w:spacing w:line="360" w:lineRule="auto"/>
              <w:jc w:val="center"/>
              <w:rPr>
                <w:rFonts w:hint="default" w:eastAsia="仿宋_GB2312"/>
                <w:kern w:val="0"/>
                <w:sz w:val="22"/>
                <w:lang w:val="en-US" w:eastAsia="zh-CN"/>
              </w:rPr>
            </w:pPr>
            <w:r>
              <w:rPr>
                <w:rFonts w:hint="eastAsia" w:eastAsia="仿宋_GB2312"/>
                <w:kern w:val="0"/>
                <w:sz w:val="22"/>
                <w:lang w:val="en-US" w:eastAsia="zh-CN"/>
              </w:rPr>
              <w:t>30</w:t>
            </w:r>
          </w:p>
        </w:tc>
      </w:tr>
      <w:tr>
        <w:tblPrEx>
          <w:tblLayout w:type="fixed"/>
          <w:tblCellMar>
            <w:top w:w="0" w:type="dxa"/>
            <w:left w:w="108" w:type="dxa"/>
            <w:bottom w:w="0" w:type="dxa"/>
            <w:right w:w="108" w:type="dxa"/>
          </w:tblCellMar>
        </w:tblPrEx>
        <w:trPr>
          <w:cantSplit/>
          <w:trHeight w:val="540" w:hRule="exact"/>
        </w:trPr>
        <w:tc>
          <w:tcPr>
            <w:tcW w:w="2427" w:type="dxa"/>
            <w:tcBorders>
              <w:top w:val="nil"/>
              <w:left w:val="single" w:color="auto" w:sz="4" w:space="0"/>
              <w:bottom w:val="nil"/>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nil"/>
              <w:right w:val="single" w:color="auto" w:sz="4" w:space="0"/>
            </w:tcBorders>
            <w:noWrap/>
            <w:vAlign w:val="center"/>
          </w:tcPr>
          <w:p>
            <w:pPr>
              <w:widowControl/>
              <w:spacing w:line="360" w:lineRule="auto"/>
              <w:jc w:val="center"/>
              <w:rPr>
                <w:rFonts w:hint="default" w:eastAsia="仿宋_GB2312"/>
                <w:kern w:val="0"/>
                <w:sz w:val="22"/>
                <w:lang w:val="en-US" w:eastAsia="zh-CN"/>
              </w:rPr>
            </w:pPr>
            <w:r>
              <w:rPr>
                <w:rFonts w:hint="eastAsia" w:eastAsia="仿宋_GB2312"/>
                <w:kern w:val="0"/>
                <w:sz w:val="22"/>
                <w:lang w:val="en-US" w:eastAsia="zh-CN"/>
              </w:rPr>
              <w:t>球墨铸铁管</w:t>
            </w:r>
          </w:p>
        </w:tc>
        <w:tc>
          <w:tcPr>
            <w:tcW w:w="2910" w:type="dxa"/>
            <w:tcBorders>
              <w:top w:val="nil"/>
              <w:left w:val="nil"/>
              <w:bottom w:val="nil"/>
              <w:right w:val="single" w:color="auto" w:sz="4" w:space="0"/>
            </w:tcBorders>
            <w:noWrap/>
            <w:vAlign w:val="center"/>
          </w:tcPr>
          <w:p>
            <w:pPr>
              <w:spacing w:line="360" w:lineRule="auto"/>
              <w:jc w:val="center"/>
              <w:rPr>
                <w:rFonts w:hint="default" w:eastAsia="仿宋_GB2312"/>
                <w:kern w:val="0"/>
                <w:sz w:val="22"/>
                <w:lang w:val="en-US" w:eastAsia="zh-CN"/>
              </w:rPr>
            </w:pPr>
            <w:r>
              <w:rPr>
                <w:rFonts w:hint="eastAsia" w:eastAsia="仿宋_GB2312"/>
                <w:kern w:val="0"/>
                <w:sz w:val="22"/>
                <w:lang w:val="en-US" w:eastAsia="zh-CN"/>
              </w:rPr>
              <w:t>30</w:t>
            </w:r>
          </w:p>
        </w:tc>
      </w:tr>
      <w:tr>
        <w:tblPrEx>
          <w:tblLayout w:type="fixed"/>
          <w:tblCellMar>
            <w:top w:w="0" w:type="dxa"/>
            <w:left w:w="108" w:type="dxa"/>
            <w:bottom w:w="0" w:type="dxa"/>
            <w:right w:w="108" w:type="dxa"/>
          </w:tblCellMar>
        </w:tblPrEx>
        <w:trPr>
          <w:cantSplit/>
          <w:trHeight w:val="540" w:hRule="exact"/>
        </w:trPr>
        <w:tc>
          <w:tcPr>
            <w:tcW w:w="2427" w:type="dxa"/>
            <w:tcBorders>
              <w:top w:val="nil"/>
              <w:left w:val="single" w:color="auto" w:sz="4" w:space="0"/>
              <w:bottom w:val="nil"/>
              <w:right w:val="single" w:color="auto" w:sz="4" w:space="0"/>
            </w:tcBorders>
            <w:noWrap w:val="0"/>
            <w:vAlign w:val="center"/>
          </w:tcPr>
          <w:p>
            <w:pPr>
              <w:widowControl/>
              <w:spacing w:line="360" w:lineRule="auto"/>
              <w:jc w:val="center"/>
              <w:rPr>
                <w:rFonts w:eastAsia="仿宋_GB2312"/>
                <w:kern w:val="0"/>
                <w:sz w:val="22"/>
              </w:rPr>
            </w:pPr>
          </w:p>
        </w:tc>
        <w:tc>
          <w:tcPr>
            <w:tcW w:w="3480" w:type="dxa"/>
            <w:tcBorders>
              <w:top w:val="nil"/>
              <w:left w:val="nil"/>
              <w:bottom w:val="nil"/>
              <w:right w:val="single" w:color="auto" w:sz="4" w:space="0"/>
            </w:tcBorders>
            <w:noWrap/>
            <w:vAlign w:val="center"/>
          </w:tcPr>
          <w:p>
            <w:pPr>
              <w:widowControl/>
              <w:spacing w:line="360" w:lineRule="auto"/>
              <w:jc w:val="center"/>
              <w:rPr>
                <w:rFonts w:eastAsia="仿宋_GB2312"/>
                <w:kern w:val="0"/>
                <w:sz w:val="22"/>
              </w:rPr>
            </w:pPr>
            <w:r>
              <w:rPr>
                <w:rFonts w:hint="eastAsia" w:eastAsia="仿宋_GB2312"/>
                <w:kern w:val="0"/>
                <w:sz w:val="22"/>
                <w:lang w:val="en-US" w:eastAsia="zh-CN"/>
              </w:rPr>
              <w:t>pc管</w:t>
            </w:r>
          </w:p>
        </w:tc>
        <w:tc>
          <w:tcPr>
            <w:tcW w:w="2910" w:type="dxa"/>
            <w:tcBorders>
              <w:top w:val="nil"/>
              <w:left w:val="nil"/>
              <w:bottom w:val="nil"/>
              <w:right w:val="single" w:color="auto" w:sz="4" w:space="0"/>
            </w:tcBorders>
            <w:noWrap/>
            <w:vAlign w:val="center"/>
          </w:tcPr>
          <w:p>
            <w:pPr>
              <w:spacing w:line="360" w:lineRule="auto"/>
              <w:jc w:val="center"/>
              <w:rPr>
                <w:rFonts w:hint="default" w:eastAsia="仿宋_GB2312"/>
                <w:kern w:val="0"/>
                <w:sz w:val="22"/>
                <w:lang w:val="en-US" w:eastAsia="zh-CN"/>
              </w:rPr>
            </w:pPr>
            <w:r>
              <w:rPr>
                <w:rFonts w:hint="eastAsia" w:eastAsia="仿宋_GB2312"/>
                <w:kern w:val="0"/>
                <w:sz w:val="22"/>
                <w:lang w:val="en-US" w:eastAsia="zh-CN"/>
              </w:rPr>
              <w:t>20</w:t>
            </w:r>
          </w:p>
        </w:tc>
      </w:tr>
      <w:tr>
        <w:tblPrEx>
          <w:tblLayout w:type="fixed"/>
          <w:tblCellMar>
            <w:top w:w="0" w:type="dxa"/>
            <w:left w:w="108" w:type="dxa"/>
            <w:bottom w:w="0" w:type="dxa"/>
            <w:right w:w="108" w:type="dxa"/>
          </w:tblCellMar>
        </w:tblPrEx>
        <w:trPr>
          <w:cantSplit/>
          <w:trHeight w:val="564" w:hRule="exact"/>
        </w:trPr>
        <w:tc>
          <w:tcPr>
            <w:tcW w:w="242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eastAsia="仿宋_GB2312"/>
                <w:kern w:val="0"/>
                <w:sz w:val="22"/>
                <w:lang w:eastAsia="zh-CN"/>
              </w:rPr>
            </w:pPr>
            <w:r>
              <w:rPr>
                <w:rFonts w:hint="eastAsia" w:eastAsia="仿宋_GB2312"/>
                <w:kern w:val="0"/>
                <w:sz w:val="22"/>
                <w:lang w:eastAsia="zh-CN"/>
              </w:rPr>
              <w:t>其他</w:t>
            </w:r>
          </w:p>
        </w:tc>
        <w:tc>
          <w:tcPr>
            <w:tcW w:w="3480" w:type="dxa"/>
            <w:tcBorders>
              <w:top w:val="nil"/>
              <w:left w:val="nil"/>
              <w:bottom w:val="single" w:color="auto" w:sz="4" w:space="0"/>
              <w:right w:val="single" w:color="auto" w:sz="4" w:space="0"/>
            </w:tcBorders>
            <w:noWrap/>
            <w:vAlign w:val="center"/>
          </w:tcPr>
          <w:p>
            <w:pPr>
              <w:widowControl/>
              <w:spacing w:line="360" w:lineRule="auto"/>
              <w:jc w:val="center"/>
              <w:rPr>
                <w:rFonts w:eastAsia="仿宋_GB2312"/>
                <w:kern w:val="0"/>
                <w:sz w:val="22"/>
              </w:rPr>
            </w:pPr>
          </w:p>
        </w:tc>
        <w:tc>
          <w:tcPr>
            <w:tcW w:w="2910" w:type="dxa"/>
            <w:tcBorders>
              <w:top w:val="nil"/>
              <w:left w:val="nil"/>
              <w:bottom w:val="single" w:color="auto" w:sz="4" w:space="0"/>
              <w:right w:val="single" w:color="auto" w:sz="4" w:space="0"/>
            </w:tcBorders>
            <w:noWrap/>
            <w:vAlign w:val="center"/>
          </w:tcPr>
          <w:p>
            <w:pPr>
              <w:spacing w:line="360" w:lineRule="auto"/>
              <w:jc w:val="center"/>
              <w:rPr>
                <w:rFonts w:hint="eastAsia" w:eastAsia="仿宋_GB2312"/>
                <w:kern w:val="0"/>
                <w:sz w:val="22"/>
                <w:lang w:eastAsia="zh-CN"/>
              </w:rPr>
            </w:pPr>
            <w:r>
              <w:rPr>
                <w:rFonts w:hint="eastAsia" w:eastAsia="仿宋_GB2312"/>
                <w:kern w:val="0"/>
                <w:sz w:val="22"/>
                <w:lang w:eastAsia="zh-CN"/>
              </w:rPr>
              <w:t>按有关财务制度规定</w:t>
            </w:r>
          </w:p>
          <w:p>
            <w:pPr>
              <w:spacing w:line="360" w:lineRule="auto"/>
              <w:jc w:val="center"/>
              <w:rPr>
                <w:rFonts w:hint="eastAsia" w:eastAsia="仿宋_GB2312"/>
                <w:kern w:val="0"/>
                <w:sz w:val="22"/>
                <w:lang w:eastAsia="zh-CN"/>
              </w:rPr>
            </w:pPr>
            <w:r>
              <w:rPr>
                <w:rFonts w:hint="eastAsia" w:eastAsia="仿宋_GB2312"/>
                <w:kern w:val="0"/>
                <w:sz w:val="22"/>
                <w:lang w:val="en-US" w:eastAsia="zh-CN"/>
              </w:rPr>
              <w:t xml:space="preserve"> </w:t>
            </w:r>
            <w:r>
              <w:rPr>
                <w:rFonts w:hint="eastAsia" w:eastAsia="仿宋_GB2312"/>
                <w:kern w:val="0"/>
                <w:sz w:val="22"/>
                <w:lang w:eastAsia="zh-CN"/>
              </w:rPr>
              <w:t>度度规定</w:t>
            </w:r>
          </w:p>
        </w:tc>
      </w:tr>
    </w:tbl>
    <w:p>
      <w:pPr>
        <w:widowControl/>
        <w:spacing w:line="360" w:lineRule="auto"/>
        <w:ind w:firstLine="440" w:firstLineChars="200"/>
        <w:jc w:val="both"/>
        <w:rPr>
          <w:rFonts w:hint="eastAsia" w:eastAsia="仿宋_GB2312"/>
          <w:kern w:val="0"/>
          <w:sz w:val="22"/>
          <w:lang w:eastAsia="zh-CN"/>
        </w:rPr>
      </w:pPr>
      <w:r>
        <w:rPr>
          <w:rFonts w:hint="eastAsia" w:eastAsia="仿宋_GB2312"/>
          <w:kern w:val="0"/>
          <w:sz w:val="22"/>
          <w:lang w:eastAsia="zh-CN"/>
        </w:rPr>
        <w:t>注：</w:t>
      </w:r>
      <w:r>
        <w:rPr>
          <w:rFonts w:hint="eastAsia" w:eastAsia="仿宋_GB2312"/>
          <w:kern w:val="0"/>
          <w:sz w:val="22"/>
          <w:lang w:val="en-US" w:eastAsia="zh-CN"/>
        </w:rPr>
        <w:t>1.</w:t>
      </w:r>
      <w:r>
        <w:rPr>
          <w:rFonts w:hint="eastAsia" w:eastAsia="仿宋_GB2312"/>
          <w:kern w:val="0"/>
          <w:sz w:val="22"/>
          <w:lang w:eastAsia="zh-CN"/>
        </w:rPr>
        <w:t>电子设备包括电子计算机以及电子计算机控制的数控或程控系统等。</w:t>
      </w:r>
    </w:p>
    <w:p>
      <w:pPr>
        <w:widowControl/>
        <w:spacing w:line="360" w:lineRule="auto"/>
        <w:jc w:val="both"/>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 xml:space="preserve">         2.</w:t>
      </w:r>
      <w:r>
        <w:rPr>
          <w:rFonts w:hint="eastAsia" w:ascii="仿宋" w:hAnsi="仿宋" w:eastAsia="仿宋" w:cs="仿宋"/>
          <w:sz w:val="22"/>
          <w:szCs w:val="22"/>
        </w:rPr>
        <w:t>下列资产不纳入核定范围</w:t>
      </w:r>
      <w:r>
        <w:rPr>
          <w:rFonts w:hint="eastAsia" w:ascii="仿宋" w:hAnsi="仿宋" w:eastAsia="仿宋" w:cs="仿宋"/>
          <w:sz w:val="22"/>
          <w:szCs w:val="22"/>
          <w:lang w:eastAsia="zh-CN"/>
        </w:rPr>
        <w:t>：</w:t>
      </w:r>
      <w:r>
        <w:rPr>
          <w:rFonts w:hint="eastAsia" w:ascii="仿宋" w:hAnsi="仿宋" w:eastAsia="仿宋" w:cs="仿宋"/>
          <w:sz w:val="22"/>
          <w:szCs w:val="22"/>
        </w:rPr>
        <w:t>政府补助和社会无偿投入的资产</w:t>
      </w:r>
      <w:r>
        <w:rPr>
          <w:rFonts w:hint="eastAsia" w:ascii="仿宋" w:hAnsi="仿宋" w:eastAsia="仿宋" w:cs="仿宋"/>
          <w:sz w:val="22"/>
          <w:szCs w:val="22"/>
          <w:lang w:eastAsia="zh-CN"/>
        </w:rPr>
        <w:t>；</w:t>
      </w:r>
      <w:r>
        <w:rPr>
          <w:rFonts w:hint="eastAsia" w:ascii="仿宋" w:hAnsi="仿宋" w:eastAsia="仿宋" w:cs="仿宋"/>
          <w:sz w:val="22"/>
          <w:szCs w:val="22"/>
        </w:rPr>
        <w:t>无偿接受的资产</w:t>
      </w:r>
      <w:r>
        <w:rPr>
          <w:rFonts w:hint="eastAsia" w:ascii="仿宋" w:hAnsi="仿宋" w:eastAsia="仿宋" w:cs="仿宋"/>
          <w:sz w:val="22"/>
          <w:szCs w:val="22"/>
          <w:lang w:eastAsia="zh-CN"/>
        </w:rPr>
        <w:t>；</w:t>
      </w:r>
      <w:r>
        <w:rPr>
          <w:rFonts w:hint="eastAsia" w:ascii="仿宋" w:hAnsi="仿宋" w:eastAsia="仿宋" w:cs="仿宋"/>
          <w:sz w:val="22"/>
          <w:szCs w:val="22"/>
        </w:rPr>
        <w:t>未投入实际使用的</w:t>
      </w:r>
      <w:r>
        <w:rPr>
          <w:rFonts w:hint="eastAsia" w:ascii="仿宋" w:hAnsi="仿宋" w:eastAsia="仿宋" w:cs="仿宋"/>
          <w:sz w:val="22"/>
          <w:szCs w:val="22"/>
          <w:lang w:eastAsia="zh-CN"/>
        </w:rPr>
        <w:t>资产；</w:t>
      </w:r>
      <w:r>
        <w:rPr>
          <w:rFonts w:hint="eastAsia" w:ascii="仿宋" w:hAnsi="仿宋" w:eastAsia="仿宋" w:cs="仿宋"/>
          <w:sz w:val="22"/>
          <w:szCs w:val="22"/>
        </w:rPr>
        <w:t>建筑区划内业主共有和专有资产</w:t>
      </w:r>
      <w:r>
        <w:rPr>
          <w:rFonts w:hint="eastAsia" w:ascii="仿宋" w:hAnsi="仿宋" w:eastAsia="仿宋" w:cs="仿宋"/>
          <w:sz w:val="22"/>
          <w:szCs w:val="22"/>
          <w:lang w:eastAsia="zh-CN"/>
        </w:rPr>
        <w:t>；</w:t>
      </w:r>
      <w:r>
        <w:rPr>
          <w:rFonts w:hint="eastAsia" w:ascii="仿宋" w:hAnsi="仿宋" w:eastAsia="仿宋" w:cs="仿宋"/>
          <w:sz w:val="22"/>
          <w:szCs w:val="22"/>
        </w:rPr>
        <w:t>向用户收取费用形成的资产</w:t>
      </w:r>
      <w:r>
        <w:rPr>
          <w:rFonts w:hint="eastAsia" w:ascii="仿宋" w:hAnsi="仿宋" w:eastAsia="仿宋" w:cs="仿宋"/>
          <w:sz w:val="22"/>
          <w:szCs w:val="22"/>
          <w:lang w:eastAsia="zh-CN"/>
        </w:rPr>
        <w:t>；</w:t>
      </w:r>
      <w:r>
        <w:rPr>
          <w:rFonts w:hint="eastAsia" w:ascii="仿宋" w:hAnsi="仿宋" w:eastAsia="仿宋" w:cs="仿宋"/>
          <w:sz w:val="22"/>
          <w:szCs w:val="22"/>
        </w:rPr>
        <w:t>已</w:t>
      </w:r>
      <w:r>
        <w:rPr>
          <w:rFonts w:hint="eastAsia" w:ascii="仿宋" w:hAnsi="仿宋" w:eastAsia="仿宋" w:cs="仿宋"/>
          <w:sz w:val="22"/>
          <w:szCs w:val="22"/>
          <w:lang w:eastAsia="zh-CN"/>
        </w:rPr>
        <w:t>计</w:t>
      </w:r>
      <w:r>
        <w:rPr>
          <w:rFonts w:hint="eastAsia" w:ascii="仿宋" w:hAnsi="仿宋" w:eastAsia="仿宋" w:cs="仿宋"/>
          <w:sz w:val="22"/>
          <w:szCs w:val="22"/>
        </w:rPr>
        <w:t>提</w:t>
      </w:r>
      <w:r>
        <w:rPr>
          <w:rFonts w:hint="eastAsia" w:ascii="仿宋" w:hAnsi="仿宋" w:eastAsia="仿宋" w:cs="仿宋"/>
          <w:sz w:val="22"/>
          <w:szCs w:val="22"/>
          <w:lang w:eastAsia="zh-CN"/>
        </w:rPr>
        <w:t>完</w:t>
      </w:r>
      <w:r>
        <w:rPr>
          <w:rFonts w:hint="eastAsia" w:ascii="仿宋" w:hAnsi="仿宋" w:eastAsia="仿宋" w:cs="仿宋"/>
          <w:sz w:val="22"/>
          <w:szCs w:val="22"/>
        </w:rPr>
        <w:t>折旧仍继续使用的资产以及评估增值</w:t>
      </w:r>
      <w:r>
        <w:rPr>
          <w:rFonts w:hint="eastAsia" w:ascii="仿宋" w:hAnsi="仿宋" w:eastAsia="仿宋" w:cs="仿宋"/>
          <w:sz w:val="22"/>
          <w:szCs w:val="22"/>
          <w:lang w:eastAsia="zh-CN"/>
        </w:rPr>
        <w:t>的</w:t>
      </w:r>
      <w:r>
        <w:rPr>
          <w:rFonts w:hint="eastAsia" w:ascii="仿宋" w:hAnsi="仿宋" w:eastAsia="仿宋" w:cs="仿宋"/>
          <w:sz w:val="22"/>
          <w:szCs w:val="22"/>
        </w:rPr>
        <w:t>部分等。</w:t>
      </w:r>
    </w:p>
    <w:sectPr>
      <w:footerReference r:id="rId3" w:type="default"/>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73CF0"/>
    <w:rsid w:val="14BF6CAF"/>
    <w:rsid w:val="169FC7D2"/>
    <w:rsid w:val="1DEA621C"/>
    <w:rsid w:val="280B2699"/>
    <w:rsid w:val="36F73CF0"/>
    <w:rsid w:val="3AFEF58A"/>
    <w:rsid w:val="3BDC8001"/>
    <w:rsid w:val="3FEB756E"/>
    <w:rsid w:val="3FED8068"/>
    <w:rsid w:val="4AFAADAE"/>
    <w:rsid w:val="51FED7AB"/>
    <w:rsid w:val="5DB2B900"/>
    <w:rsid w:val="5EC9591F"/>
    <w:rsid w:val="5EFA7CCD"/>
    <w:rsid w:val="61F9A2DA"/>
    <w:rsid w:val="67EFDAB0"/>
    <w:rsid w:val="6ACB7A11"/>
    <w:rsid w:val="6AFF8AFD"/>
    <w:rsid w:val="6FDF3A1C"/>
    <w:rsid w:val="727ABB71"/>
    <w:rsid w:val="757DE146"/>
    <w:rsid w:val="777F4618"/>
    <w:rsid w:val="7DAF2D14"/>
    <w:rsid w:val="7DE5FE04"/>
    <w:rsid w:val="7DFF71A5"/>
    <w:rsid w:val="7EA73C8F"/>
    <w:rsid w:val="7EEDD93A"/>
    <w:rsid w:val="7EFF0BB1"/>
    <w:rsid w:val="7EFF35E3"/>
    <w:rsid w:val="7F776497"/>
    <w:rsid w:val="7F7D58EC"/>
    <w:rsid w:val="7FB43324"/>
    <w:rsid w:val="7FF76D49"/>
    <w:rsid w:val="7FF7C82D"/>
    <w:rsid w:val="7FFC05EE"/>
    <w:rsid w:val="7FFED080"/>
    <w:rsid w:val="959B2534"/>
    <w:rsid w:val="9A7DEDB0"/>
    <w:rsid w:val="9D4B5CFF"/>
    <w:rsid w:val="9F3A1067"/>
    <w:rsid w:val="A2EEEDD7"/>
    <w:rsid w:val="AFCFC054"/>
    <w:rsid w:val="B9FE2384"/>
    <w:rsid w:val="BA7B23C6"/>
    <w:rsid w:val="BDAE591E"/>
    <w:rsid w:val="BF9B0F13"/>
    <w:rsid w:val="BFDA6571"/>
    <w:rsid w:val="C7996EED"/>
    <w:rsid w:val="D5AE8874"/>
    <w:rsid w:val="D7EF8532"/>
    <w:rsid w:val="DB2D236C"/>
    <w:rsid w:val="DDED628C"/>
    <w:rsid w:val="DEBF20AD"/>
    <w:rsid w:val="DEFB3A65"/>
    <w:rsid w:val="DF318600"/>
    <w:rsid w:val="DF4DCF7A"/>
    <w:rsid w:val="E2B90714"/>
    <w:rsid w:val="E5FE786D"/>
    <w:rsid w:val="E9F71EFB"/>
    <w:rsid w:val="F3E3F870"/>
    <w:rsid w:val="F4BFCD24"/>
    <w:rsid w:val="F71B1D02"/>
    <w:rsid w:val="F7BF1DE8"/>
    <w:rsid w:val="F7FFE389"/>
    <w:rsid w:val="F9FC20A3"/>
    <w:rsid w:val="FDCFC1AF"/>
    <w:rsid w:val="FDFB9C38"/>
    <w:rsid w:val="FE734873"/>
    <w:rsid w:val="FE7F9621"/>
    <w:rsid w:val="FF2E8CAA"/>
    <w:rsid w:val="FF6FBCEC"/>
    <w:rsid w:val="FF7F0D0E"/>
    <w:rsid w:val="FF87D4CE"/>
    <w:rsid w:val="FFBF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2022-05-20T08:24:00Z</dcterms:created>
  <dc:creator>uos</dc:creator>
  <cp:lastModifiedBy>Administrator</cp:lastModifiedBy>
  <dcterms:modified xsi:type="dcterms:W3CDTF">2023-01-30T08:33:20Z</dcterms:modified>
  <dc:title>海南省城镇供水定价成本监审实施细则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