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cs="宋体"/>
          <w:b/>
          <w:bCs/>
          <w:sz w:val="44"/>
          <w:szCs w:val="44"/>
        </w:rPr>
      </w:pPr>
      <w:r>
        <w:rPr>
          <w:rFonts w:hint="eastAsia" w:ascii="宋体" w:hAnsi="宋体" w:cs="宋体"/>
          <w:b/>
          <w:bCs/>
          <w:sz w:val="44"/>
          <w:szCs w:val="44"/>
        </w:rPr>
        <w:t xml:space="preserve">                </w:t>
      </w:r>
    </w:p>
    <w:p>
      <w:pPr>
        <w:spacing w:line="600" w:lineRule="exact"/>
        <w:jc w:val="center"/>
        <w:rPr>
          <w:rFonts w:ascii="方正小标宋简体" w:eastAsia="方正小标宋简体" w:cs="黑体" w:hAnsiTheme="majorEastAsia"/>
          <w:bCs/>
          <w:sz w:val="44"/>
          <w:szCs w:val="44"/>
        </w:rPr>
      </w:pPr>
      <w:r>
        <w:rPr>
          <w:rFonts w:hint="eastAsia" w:ascii="方正小标宋简体" w:eastAsia="方正小标宋简体" w:cs="黑体" w:hAnsiTheme="majorEastAsia"/>
          <w:bCs/>
          <w:sz w:val="44"/>
          <w:szCs w:val="44"/>
        </w:rPr>
        <w:t>临高县国民经济和社会发展第十四个五年</w:t>
      </w:r>
    </w:p>
    <w:p>
      <w:pPr>
        <w:spacing w:line="600" w:lineRule="exact"/>
        <w:jc w:val="center"/>
        <w:rPr>
          <w:rFonts w:ascii="方正小标宋简体" w:eastAsia="方正小标宋简体" w:cs="黑体" w:hAnsiTheme="majorEastAsia"/>
          <w:bCs/>
          <w:sz w:val="44"/>
          <w:szCs w:val="44"/>
        </w:rPr>
      </w:pPr>
      <w:r>
        <w:rPr>
          <w:rFonts w:hint="eastAsia" w:ascii="方正小标宋简体" w:eastAsia="方正小标宋简体" w:cs="黑体" w:hAnsiTheme="majorEastAsia"/>
          <w:bCs/>
          <w:sz w:val="44"/>
          <w:szCs w:val="44"/>
        </w:rPr>
        <w:t>规划和二</w:t>
      </w:r>
      <w:r>
        <w:rPr>
          <w:rFonts w:hint="eastAsia" w:ascii="方正小标宋简体" w:cs="黑体" w:hAnsiTheme="majorEastAsia" w:eastAsiaTheme="majorEastAsia"/>
          <w:bCs/>
          <w:sz w:val="44"/>
          <w:szCs w:val="44"/>
        </w:rPr>
        <w:t>〇</w:t>
      </w:r>
      <w:r>
        <w:rPr>
          <w:rFonts w:hint="eastAsia" w:ascii="方正小标宋简体" w:eastAsia="方正小标宋简体" w:cs="黑体" w:hAnsiTheme="majorEastAsia"/>
          <w:bCs/>
          <w:sz w:val="44"/>
          <w:szCs w:val="44"/>
        </w:rPr>
        <w:t>三五年远景目标纲要</w:t>
      </w:r>
    </w:p>
    <w:p>
      <w:pPr>
        <w:spacing w:line="600" w:lineRule="exact"/>
        <w:jc w:val="center"/>
        <w:rPr>
          <w:rFonts w:ascii="方正小标宋简体" w:hAnsi="黑体" w:eastAsia="方正小标宋简体" w:cs="黑体"/>
          <w:bCs/>
          <w:sz w:val="44"/>
          <w:szCs w:val="44"/>
        </w:rPr>
      </w:pPr>
    </w:p>
    <w:p>
      <w:pPr>
        <w:spacing w:line="720" w:lineRule="auto"/>
        <w:jc w:val="center"/>
        <w:rPr>
          <w:rFonts w:ascii="宋体" w:hAnsi="宋体" w:cs="宋体"/>
          <w:sz w:val="32"/>
          <w:szCs w:val="32"/>
        </w:rPr>
      </w:pPr>
    </w:p>
    <w:p>
      <w:pPr>
        <w:spacing w:line="720" w:lineRule="auto"/>
        <w:jc w:val="center"/>
        <w:rPr>
          <w:rFonts w:ascii="仿宋_GB2312" w:hAnsi="仿宋_GB2312" w:eastAsia="仿宋_GB2312" w:cs="仿宋_GB2312"/>
          <w:sz w:val="32"/>
          <w:szCs w:val="32"/>
        </w:rPr>
      </w:pPr>
    </w:p>
    <w:p>
      <w:pPr>
        <w:spacing w:line="720" w:lineRule="auto"/>
        <w:jc w:val="center"/>
        <w:rPr>
          <w:rFonts w:ascii="仿宋_GB2312" w:hAnsi="仿宋_GB2312" w:eastAsia="仿宋_GB2312" w:cs="仿宋_GB2312"/>
          <w:sz w:val="32"/>
          <w:szCs w:val="32"/>
        </w:rPr>
      </w:pPr>
    </w:p>
    <w:p>
      <w:pPr>
        <w:spacing w:line="720" w:lineRule="auto"/>
        <w:jc w:val="center"/>
        <w:rPr>
          <w:rFonts w:ascii="仿宋_GB2312" w:hAnsi="仿宋_GB2312" w:eastAsia="仿宋_GB2312" w:cs="仿宋_GB2312"/>
          <w:sz w:val="32"/>
          <w:szCs w:val="32"/>
        </w:rPr>
      </w:pPr>
    </w:p>
    <w:p>
      <w:pPr>
        <w:spacing w:line="720" w:lineRule="auto"/>
        <w:jc w:val="center"/>
        <w:rPr>
          <w:rFonts w:ascii="仿宋_GB2312" w:hAnsi="仿宋_GB2312" w:eastAsia="仿宋_GB2312" w:cs="仿宋_GB2312"/>
          <w:sz w:val="32"/>
          <w:szCs w:val="32"/>
        </w:rPr>
      </w:pPr>
    </w:p>
    <w:p>
      <w:pPr>
        <w:spacing w:line="720" w:lineRule="auto"/>
        <w:jc w:val="center"/>
        <w:rPr>
          <w:rFonts w:ascii="仿宋_GB2312" w:hAnsi="仿宋_GB2312" w:eastAsia="仿宋_GB2312" w:cs="仿宋_GB2312"/>
          <w:sz w:val="32"/>
          <w:szCs w:val="32"/>
        </w:rPr>
      </w:pPr>
    </w:p>
    <w:p>
      <w:pPr>
        <w:spacing w:line="720" w:lineRule="auto"/>
        <w:jc w:val="center"/>
        <w:rPr>
          <w:rFonts w:ascii="仿宋_GB2312" w:hAnsi="仿宋_GB2312" w:eastAsia="仿宋_GB2312" w:cs="仿宋_GB2312"/>
          <w:sz w:val="32"/>
          <w:szCs w:val="32"/>
        </w:rPr>
      </w:pPr>
    </w:p>
    <w:p>
      <w:pPr>
        <w:spacing w:line="720" w:lineRule="auto"/>
        <w:jc w:val="center"/>
        <w:rPr>
          <w:rFonts w:ascii="仿宋_GB2312" w:hAnsi="仿宋_GB2312" w:eastAsia="仿宋_GB2312" w:cs="仿宋_GB2312"/>
          <w:sz w:val="32"/>
          <w:szCs w:val="32"/>
        </w:rPr>
      </w:pPr>
    </w:p>
    <w:p>
      <w:pPr>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2021年3月</w:t>
      </w:r>
    </w:p>
    <w:p>
      <w:pPr>
        <w:spacing w:line="480" w:lineRule="auto"/>
        <w:ind w:firstLine="640" w:firstLineChars="200"/>
        <w:jc w:val="center"/>
        <w:rPr>
          <w:rFonts w:ascii="宋体" w:hAnsi="宋体" w:cs="宋体"/>
          <w:sz w:val="32"/>
          <w:szCs w:val="32"/>
        </w:rPr>
      </w:pPr>
    </w:p>
    <w:p>
      <w:pPr>
        <w:spacing w:line="10" w:lineRule="atLeast"/>
        <w:rPr>
          <w:rFonts w:ascii="仿宋_GB2312" w:hAnsi="仿宋_GB2312" w:eastAsia="仿宋_GB2312" w:cs="仿宋_GB2312"/>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814" w:left="1531" w:header="851" w:footer="1247" w:gutter="0"/>
          <w:cols w:space="720" w:num="1"/>
          <w:titlePg/>
          <w:docGrid w:type="lines" w:linePitch="312" w:charSpace="0"/>
        </w:sectPr>
      </w:pPr>
    </w:p>
    <w:p>
      <w:pPr>
        <w:spacing w:line="540" w:lineRule="exact"/>
        <w:jc w:val="center"/>
        <w:rPr>
          <w:rFonts w:cs="黑体" w:asciiTheme="majorEastAsia" w:hAnsiTheme="majorEastAsia" w:eastAsiaTheme="majorEastAsia"/>
          <w:b/>
          <w:bCs/>
          <w:sz w:val="32"/>
          <w:szCs w:val="32"/>
        </w:rPr>
      </w:pPr>
      <w:r>
        <w:rPr>
          <w:rFonts w:hint="eastAsia" w:cs="黑体" w:asciiTheme="majorEastAsia" w:hAnsiTheme="majorEastAsia" w:eastAsiaTheme="majorEastAsia"/>
          <w:b/>
          <w:bCs/>
          <w:sz w:val="32"/>
          <w:szCs w:val="32"/>
        </w:rPr>
        <w:t>目  录</w:t>
      </w:r>
    </w:p>
    <w:p>
      <w:pPr>
        <w:spacing w:line="540" w:lineRule="exact"/>
        <w:jc w:val="center"/>
        <w:rPr>
          <w:rFonts w:ascii="黑体" w:hAnsi="黑体" w:eastAsia="黑体" w:cs="黑体"/>
          <w:b/>
          <w:bCs/>
          <w:sz w:val="32"/>
          <w:szCs w:val="32"/>
        </w:rPr>
      </w:pPr>
    </w:p>
    <w:p>
      <w:pPr>
        <w:pStyle w:val="9"/>
        <w:tabs>
          <w:tab w:val="right" w:leader="dot" w:pos="8834"/>
        </w:tabs>
        <w:rPr>
          <w:rFonts w:asciiTheme="minorHAnsi" w:hAnsiTheme="minorHAnsi" w:eastAsiaTheme="minorEastAsia" w:cstheme="minorBidi"/>
          <w:sz w:val="28"/>
          <w:szCs w:val="28"/>
        </w:rPr>
      </w:pPr>
      <w:r>
        <w:rPr>
          <w:rFonts w:hint="eastAsia" w:ascii="仿宋_GB2312" w:hAnsi="仿宋_GB2312" w:eastAsia="仿宋_GB2312" w:cs="仿宋_GB2312"/>
          <w:b/>
          <w:sz w:val="28"/>
          <w:szCs w:val="28"/>
        </w:rPr>
        <w:fldChar w:fldCharType="begin"/>
      </w:r>
      <w:r>
        <w:rPr>
          <w:rFonts w:hint="eastAsia" w:ascii="仿宋_GB2312" w:hAnsi="仿宋_GB2312" w:eastAsia="仿宋_GB2312" w:cs="仿宋_GB2312"/>
          <w:b/>
          <w:sz w:val="28"/>
          <w:szCs w:val="28"/>
        </w:rPr>
        <w:instrText xml:space="preserve">TOC \o "1-2" \h \u </w:instrText>
      </w:r>
      <w:r>
        <w:rPr>
          <w:rFonts w:hint="eastAsia" w:ascii="仿宋_GB2312" w:hAnsi="仿宋_GB2312" w:eastAsia="仿宋_GB2312" w:cs="仿宋_GB2312"/>
          <w:b/>
          <w:sz w:val="28"/>
          <w:szCs w:val="28"/>
        </w:rPr>
        <w:fldChar w:fldCharType="separate"/>
      </w:r>
      <w:r>
        <w:fldChar w:fldCharType="begin"/>
      </w:r>
      <w:r>
        <w:instrText xml:space="preserve"> HYPERLINK \l "_Toc64142990" </w:instrText>
      </w:r>
      <w:r>
        <w:fldChar w:fldCharType="separate"/>
      </w:r>
      <w:r>
        <w:rPr>
          <w:rStyle w:val="15"/>
          <w:rFonts w:hint="eastAsia" w:cs="黑体" w:asciiTheme="majorEastAsia" w:hAnsiTheme="majorEastAsia" w:eastAsiaTheme="majorEastAsia"/>
          <w:bCs/>
          <w:sz w:val="28"/>
          <w:szCs w:val="28"/>
        </w:rPr>
        <w:t>第一章 以自贸港建设为引领，进入高质量发展新阶段</w:t>
      </w:r>
      <w:r>
        <w:rPr>
          <w:sz w:val="28"/>
          <w:szCs w:val="28"/>
        </w:rPr>
        <w:tab/>
      </w:r>
      <w:r>
        <w:rPr>
          <w:sz w:val="28"/>
          <w:szCs w:val="28"/>
        </w:rPr>
        <w:fldChar w:fldCharType="begin"/>
      </w:r>
      <w:r>
        <w:rPr>
          <w:sz w:val="28"/>
          <w:szCs w:val="28"/>
        </w:rPr>
        <w:instrText xml:space="preserve"> PAGEREF _Toc64142990 \h </w:instrText>
      </w:r>
      <w:r>
        <w:rPr>
          <w:sz w:val="28"/>
          <w:szCs w:val="28"/>
        </w:rPr>
        <w:fldChar w:fldCharType="separate"/>
      </w:r>
      <w:r>
        <w:rPr>
          <w:sz w:val="28"/>
          <w:szCs w:val="28"/>
        </w:rPr>
        <w:t>- 1 -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"_Toc64142991" </w:instrText>
      </w:r>
      <w:r>
        <w:fldChar w:fldCharType="separate"/>
      </w:r>
      <w:r>
        <w:rPr>
          <w:rStyle w:val="15"/>
          <w:rFonts w:hint="eastAsia" w:cs="仿宋" w:asciiTheme="majorEastAsia" w:hAnsiTheme="majorEastAsia" w:eastAsiaTheme="majorEastAsia"/>
          <w:bCs/>
          <w:sz w:val="28"/>
          <w:szCs w:val="28"/>
        </w:rPr>
        <w:t>第一节发展基础</w:t>
      </w:r>
      <w:r>
        <w:rPr>
          <w:sz w:val="28"/>
          <w:szCs w:val="28"/>
        </w:rPr>
        <w:tab/>
      </w:r>
      <w:r>
        <w:rPr>
          <w:sz w:val="28"/>
          <w:szCs w:val="28"/>
        </w:rPr>
        <w:fldChar w:fldCharType="begin"/>
      </w:r>
      <w:r>
        <w:rPr>
          <w:sz w:val="28"/>
          <w:szCs w:val="28"/>
        </w:rPr>
        <w:instrText xml:space="preserve"> PAGEREF _Toc64142991 \h </w:instrText>
      </w:r>
      <w:r>
        <w:rPr>
          <w:sz w:val="28"/>
          <w:szCs w:val="28"/>
        </w:rPr>
        <w:fldChar w:fldCharType="separate"/>
      </w:r>
      <w:r>
        <w:rPr>
          <w:sz w:val="28"/>
          <w:szCs w:val="28"/>
        </w:rPr>
        <w:t>- 2 -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"_Toc64142992" </w:instrText>
      </w:r>
      <w:r>
        <w:fldChar w:fldCharType="separate"/>
      </w:r>
      <w:r>
        <w:rPr>
          <w:rStyle w:val="15"/>
          <w:rFonts w:hint="eastAsia" w:cs="宋体" w:asciiTheme="majorEastAsia" w:hAnsiTheme="majorEastAsia" w:eastAsiaTheme="majorEastAsia"/>
          <w:bCs/>
          <w:sz w:val="28"/>
          <w:szCs w:val="28"/>
        </w:rPr>
        <w:t>第二节发展形势</w:t>
      </w:r>
      <w:r>
        <w:rPr>
          <w:sz w:val="28"/>
          <w:szCs w:val="28"/>
        </w:rPr>
        <w:tab/>
      </w:r>
      <w:r>
        <w:rPr>
          <w:sz w:val="28"/>
          <w:szCs w:val="28"/>
        </w:rPr>
        <w:fldChar w:fldCharType="begin"/>
      </w:r>
      <w:r>
        <w:rPr>
          <w:sz w:val="28"/>
          <w:szCs w:val="28"/>
        </w:rPr>
        <w:instrText xml:space="preserve"> PAGEREF _Toc64142992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"_Toc64142993" </w:instrText>
      </w:r>
      <w:r>
        <w:fldChar w:fldCharType="separate"/>
      </w:r>
      <w:r>
        <w:rPr>
          <w:rStyle w:val="15"/>
          <w:rFonts w:hint="eastAsia" w:cs="仿宋_GB2312" w:asciiTheme="majorEastAsia" w:hAnsiTheme="majorEastAsia" w:eastAsiaTheme="majorEastAsia"/>
          <w:sz w:val="28"/>
          <w:szCs w:val="28"/>
        </w:rPr>
        <w:t>第三节指导思想</w:t>
      </w:r>
      <w:r>
        <w:rPr>
          <w:sz w:val="28"/>
          <w:szCs w:val="28"/>
        </w:rPr>
        <w:tab/>
      </w:r>
      <w:r>
        <w:rPr>
          <w:sz w:val="28"/>
          <w:szCs w:val="28"/>
        </w:rPr>
        <w:fldChar w:fldCharType="begin"/>
      </w:r>
      <w:r>
        <w:rPr>
          <w:sz w:val="28"/>
          <w:szCs w:val="28"/>
        </w:rPr>
        <w:instrText xml:space="preserve"> PAGEREF _Toc64142993 \h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"_Toc64142994" </w:instrText>
      </w:r>
      <w:r>
        <w:fldChar w:fldCharType="separate"/>
      </w:r>
      <w:r>
        <w:rPr>
          <w:rStyle w:val="15"/>
          <w:rFonts w:hint="eastAsia" w:cs="仿宋" w:asciiTheme="majorEastAsia" w:hAnsiTheme="majorEastAsia" w:eastAsiaTheme="majorEastAsia"/>
          <w:sz w:val="28"/>
          <w:szCs w:val="28"/>
        </w:rPr>
        <w:t>第四节发展定位</w:t>
      </w:r>
      <w:r>
        <w:rPr>
          <w:sz w:val="28"/>
          <w:szCs w:val="28"/>
        </w:rPr>
        <w:tab/>
      </w:r>
      <w:r>
        <w:rPr>
          <w:sz w:val="28"/>
          <w:szCs w:val="28"/>
        </w:rPr>
        <w:fldChar w:fldCharType="begin"/>
      </w:r>
      <w:r>
        <w:rPr>
          <w:sz w:val="28"/>
          <w:szCs w:val="28"/>
        </w:rPr>
        <w:instrText xml:space="preserve"> PAGEREF _Toc64142994 \h </w:instrText>
      </w:r>
      <w:r>
        <w:rPr>
          <w:sz w:val="28"/>
          <w:szCs w:val="28"/>
        </w:rPr>
        <w:fldChar w:fldCharType="separate"/>
      </w:r>
      <w:r>
        <w:rPr>
          <w:sz w:val="28"/>
          <w:szCs w:val="28"/>
        </w:rPr>
        <w:t>- 13 -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"_Toc64142995" </w:instrText>
      </w:r>
      <w:r>
        <w:fldChar w:fldCharType="separate"/>
      </w:r>
      <w:r>
        <w:rPr>
          <w:rStyle w:val="15"/>
          <w:rFonts w:hint="eastAsia" w:cs="仿宋" w:asciiTheme="majorEastAsia" w:hAnsiTheme="majorEastAsia" w:eastAsiaTheme="majorEastAsia"/>
          <w:bCs/>
          <w:sz w:val="28"/>
          <w:szCs w:val="28"/>
        </w:rPr>
        <w:t>第五节主要目标</w:t>
      </w:r>
      <w:r>
        <w:rPr>
          <w:sz w:val="28"/>
          <w:szCs w:val="28"/>
        </w:rPr>
        <w:tab/>
      </w:r>
      <w:r>
        <w:rPr>
          <w:sz w:val="28"/>
          <w:szCs w:val="28"/>
        </w:rPr>
        <w:fldChar w:fldCharType="begin"/>
      </w:r>
      <w:r>
        <w:rPr>
          <w:sz w:val="28"/>
          <w:szCs w:val="28"/>
        </w:rPr>
        <w:instrText xml:space="preserve"> PAGEREF _Toc64142995 \h </w:instrText>
      </w:r>
      <w:r>
        <w:rPr>
          <w:sz w:val="28"/>
          <w:szCs w:val="28"/>
        </w:rPr>
        <w:fldChar w:fldCharType="separate"/>
      </w:r>
      <w:r>
        <w:rPr>
          <w:sz w:val="28"/>
          <w:szCs w:val="28"/>
        </w:rPr>
        <w:t>- 15 -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"_Toc64142996" </w:instrText>
      </w:r>
      <w:r>
        <w:fldChar w:fldCharType="separate"/>
      </w:r>
      <w:r>
        <w:rPr>
          <w:rStyle w:val="15"/>
          <w:rFonts w:hint="eastAsia" w:cs="仿宋_GB2312" w:asciiTheme="majorEastAsia" w:hAnsiTheme="majorEastAsia" w:eastAsiaTheme="majorEastAsia"/>
          <w:sz w:val="28"/>
          <w:szCs w:val="28"/>
        </w:rPr>
        <w:t>第六节远景目标</w:t>
      </w:r>
      <w:r>
        <w:rPr>
          <w:sz w:val="28"/>
          <w:szCs w:val="28"/>
        </w:rPr>
        <w:tab/>
      </w:r>
      <w:r>
        <w:rPr>
          <w:sz w:val="28"/>
          <w:szCs w:val="28"/>
        </w:rPr>
        <w:fldChar w:fldCharType="begin"/>
      </w:r>
      <w:r>
        <w:rPr>
          <w:sz w:val="28"/>
          <w:szCs w:val="28"/>
        </w:rPr>
        <w:instrText xml:space="preserve"> PAGEREF _Toc64142996 \h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"_Toc64142997" </w:instrText>
      </w:r>
      <w:r>
        <w:fldChar w:fldCharType="separate"/>
      </w:r>
      <w:r>
        <w:rPr>
          <w:rStyle w:val="15"/>
          <w:rFonts w:hint="eastAsia" w:cs="黑体" w:asciiTheme="majorEastAsia" w:hAnsiTheme="majorEastAsia" w:eastAsiaTheme="majorEastAsia"/>
          <w:bCs/>
          <w:sz w:val="28"/>
          <w:szCs w:val="28"/>
        </w:rPr>
        <w:t>第二章 聚焦制度集成创新，扛起自贸港建设担当</w:t>
      </w:r>
      <w:r>
        <w:rPr>
          <w:sz w:val="28"/>
          <w:szCs w:val="28"/>
        </w:rPr>
        <w:tab/>
      </w:r>
      <w:r>
        <w:rPr>
          <w:sz w:val="28"/>
          <w:szCs w:val="28"/>
        </w:rPr>
        <w:fldChar w:fldCharType="begin"/>
      </w:r>
      <w:r>
        <w:rPr>
          <w:sz w:val="28"/>
          <w:szCs w:val="28"/>
        </w:rPr>
        <w:instrText xml:space="preserve"> PAGEREF _Toc64142997 \h </w:instrText>
      </w:r>
      <w:r>
        <w:rPr>
          <w:sz w:val="28"/>
          <w:szCs w:val="28"/>
        </w:rPr>
        <w:fldChar w:fldCharType="separate"/>
      </w:r>
      <w:r>
        <w:rPr>
          <w:sz w:val="28"/>
          <w:szCs w:val="28"/>
        </w:rPr>
        <w:t>- 19 -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"_Toc64142998" </w:instrText>
      </w:r>
      <w:r>
        <w:fldChar w:fldCharType="separate"/>
      </w:r>
      <w:r>
        <w:rPr>
          <w:rStyle w:val="15"/>
          <w:rFonts w:hint="eastAsia" w:cs="楷体" w:asciiTheme="majorEastAsia" w:hAnsiTheme="majorEastAsia" w:eastAsiaTheme="majorEastAsia"/>
          <w:sz w:val="28"/>
          <w:szCs w:val="28"/>
        </w:rPr>
        <w:t>第一节推进特殊税收制度政策落实</w:t>
      </w:r>
      <w:r>
        <w:rPr>
          <w:sz w:val="28"/>
          <w:szCs w:val="28"/>
        </w:rPr>
        <w:tab/>
      </w:r>
      <w:r>
        <w:rPr>
          <w:sz w:val="28"/>
          <w:szCs w:val="28"/>
        </w:rPr>
        <w:fldChar w:fldCharType="begin"/>
      </w:r>
      <w:r>
        <w:rPr>
          <w:sz w:val="28"/>
          <w:szCs w:val="28"/>
        </w:rPr>
        <w:instrText xml:space="preserve"> PAGEREF _Toc64142998 \h </w:instrText>
      </w:r>
      <w:r>
        <w:rPr>
          <w:sz w:val="28"/>
          <w:szCs w:val="28"/>
        </w:rPr>
        <w:fldChar w:fldCharType="separate"/>
      </w:r>
      <w:r>
        <w:rPr>
          <w:sz w:val="28"/>
          <w:szCs w:val="28"/>
        </w:rPr>
        <w:t>- 19 -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"_Toc64142999" </w:instrText>
      </w:r>
      <w:r>
        <w:fldChar w:fldCharType="separate"/>
      </w:r>
      <w:r>
        <w:rPr>
          <w:rStyle w:val="15"/>
          <w:rFonts w:hint="eastAsia" w:cs="楷体" w:asciiTheme="majorEastAsia" w:hAnsiTheme="majorEastAsia" w:eastAsiaTheme="majorEastAsia"/>
          <w:sz w:val="28"/>
          <w:szCs w:val="28"/>
        </w:rPr>
        <w:t>第二节推动贸易投资自由化便利化</w:t>
      </w:r>
      <w:r>
        <w:rPr>
          <w:sz w:val="28"/>
          <w:szCs w:val="28"/>
        </w:rPr>
        <w:tab/>
      </w:r>
      <w:r>
        <w:rPr>
          <w:sz w:val="28"/>
          <w:szCs w:val="28"/>
        </w:rPr>
        <w:fldChar w:fldCharType="begin"/>
      </w:r>
      <w:r>
        <w:rPr>
          <w:sz w:val="28"/>
          <w:szCs w:val="28"/>
        </w:rPr>
        <w:instrText xml:space="preserve"> PAGEREF _Toc64142999 \h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"_Toc64143000" </w:instrText>
      </w:r>
      <w:r>
        <w:fldChar w:fldCharType="separate"/>
      </w:r>
      <w:r>
        <w:rPr>
          <w:rStyle w:val="15"/>
          <w:rFonts w:hint="eastAsia" w:cs="楷体" w:asciiTheme="majorEastAsia" w:hAnsiTheme="majorEastAsia" w:eastAsiaTheme="majorEastAsia"/>
          <w:sz w:val="28"/>
          <w:szCs w:val="28"/>
        </w:rPr>
        <w:t>第三节稳步推进跨境资金流动</w:t>
      </w:r>
      <w:r>
        <w:rPr>
          <w:sz w:val="28"/>
          <w:szCs w:val="28"/>
        </w:rPr>
        <w:tab/>
      </w:r>
      <w:r>
        <w:rPr>
          <w:sz w:val="28"/>
          <w:szCs w:val="28"/>
        </w:rPr>
        <w:fldChar w:fldCharType="begin"/>
      </w:r>
      <w:r>
        <w:rPr>
          <w:sz w:val="28"/>
          <w:szCs w:val="28"/>
        </w:rPr>
        <w:instrText xml:space="preserve"> PAGEREF _Toc64143000 \h </w:instrText>
      </w:r>
      <w:r>
        <w:rPr>
          <w:sz w:val="28"/>
          <w:szCs w:val="28"/>
        </w:rPr>
        <w:fldChar w:fldCharType="separate"/>
      </w:r>
      <w:r>
        <w:rPr>
          <w:sz w:val="28"/>
          <w:szCs w:val="28"/>
        </w:rPr>
        <w:t>- 22 -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"_Toc64143001" </w:instrText>
      </w:r>
      <w:r>
        <w:fldChar w:fldCharType="separate"/>
      </w:r>
      <w:r>
        <w:rPr>
          <w:rStyle w:val="15"/>
          <w:rFonts w:hint="eastAsia" w:cs="黑体" w:asciiTheme="majorEastAsia" w:hAnsiTheme="majorEastAsia" w:eastAsiaTheme="majorEastAsia"/>
          <w:bCs/>
          <w:sz w:val="28"/>
          <w:szCs w:val="28"/>
        </w:rPr>
        <w:t>第三章 围绕优化营商环境，全面推动深化改革</w:t>
      </w:r>
      <w:r>
        <w:rPr>
          <w:sz w:val="28"/>
          <w:szCs w:val="28"/>
        </w:rPr>
        <w:tab/>
      </w:r>
      <w:r>
        <w:rPr>
          <w:sz w:val="28"/>
          <w:szCs w:val="28"/>
        </w:rPr>
        <w:fldChar w:fldCharType="begin"/>
      </w:r>
      <w:r>
        <w:rPr>
          <w:sz w:val="28"/>
          <w:szCs w:val="28"/>
        </w:rPr>
        <w:instrText xml:space="preserve"> PAGEREF _Toc64143001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"_Toc64143002" </w:instrText>
      </w:r>
      <w:r>
        <w:fldChar w:fldCharType="separate"/>
      </w:r>
      <w:r>
        <w:rPr>
          <w:rStyle w:val="15"/>
          <w:rFonts w:hint="eastAsia" w:cs="楷体" w:asciiTheme="majorEastAsia" w:hAnsiTheme="majorEastAsia" w:eastAsiaTheme="majorEastAsia"/>
          <w:sz w:val="28"/>
          <w:szCs w:val="28"/>
        </w:rPr>
        <w:t>第一节深化重点领域和关键环节改革</w:t>
      </w:r>
      <w:r>
        <w:rPr>
          <w:sz w:val="28"/>
          <w:szCs w:val="28"/>
        </w:rPr>
        <w:tab/>
      </w:r>
      <w:r>
        <w:rPr>
          <w:sz w:val="28"/>
          <w:szCs w:val="28"/>
        </w:rPr>
        <w:fldChar w:fldCharType="begin"/>
      </w:r>
      <w:r>
        <w:rPr>
          <w:sz w:val="28"/>
          <w:szCs w:val="28"/>
        </w:rPr>
        <w:instrText xml:space="preserve"> PAGEREF _Toc64143002 \h </w:instrText>
      </w:r>
      <w:r>
        <w:rPr>
          <w:sz w:val="28"/>
          <w:szCs w:val="28"/>
        </w:rPr>
        <w:fldChar w:fldCharType="separate"/>
      </w:r>
      <w:r>
        <w:rPr>
          <w:sz w:val="28"/>
          <w:szCs w:val="28"/>
        </w:rPr>
        <w:t>- 25 -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"_Toc64143003" </w:instrText>
      </w:r>
      <w:r>
        <w:fldChar w:fldCharType="separate"/>
      </w:r>
      <w:r>
        <w:rPr>
          <w:rStyle w:val="15"/>
          <w:rFonts w:hint="eastAsia" w:cs="楷体" w:asciiTheme="majorEastAsia" w:hAnsiTheme="majorEastAsia" w:eastAsiaTheme="majorEastAsia"/>
          <w:sz w:val="28"/>
          <w:szCs w:val="28"/>
        </w:rPr>
        <w:t>第二节完善激励创新创业的发展环境</w:t>
      </w:r>
      <w:r>
        <w:rPr>
          <w:sz w:val="28"/>
          <w:szCs w:val="28"/>
        </w:rPr>
        <w:tab/>
      </w:r>
      <w:r>
        <w:rPr>
          <w:sz w:val="28"/>
          <w:szCs w:val="28"/>
        </w:rPr>
        <w:fldChar w:fldCharType="begin"/>
      </w:r>
      <w:r>
        <w:rPr>
          <w:sz w:val="28"/>
          <w:szCs w:val="28"/>
        </w:rPr>
        <w:instrText xml:space="preserve"> PAGEREF _Toc64143003 \h </w:instrText>
      </w:r>
      <w:r>
        <w:rPr>
          <w:sz w:val="28"/>
          <w:szCs w:val="28"/>
        </w:rPr>
        <w:fldChar w:fldCharType="separate"/>
      </w:r>
      <w:r>
        <w:rPr>
          <w:sz w:val="28"/>
          <w:szCs w:val="28"/>
        </w:rPr>
        <w:t>- 28 -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"_Toc64143004" </w:instrText>
      </w:r>
      <w:r>
        <w:fldChar w:fldCharType="separate"/>
      </w:r>
      <w:r>
        <w:rPr>
          <w:rStyle w:val="15"/>
          <w:rFonts w:hint="eastAsia" w:cs="楷体" w:asciiTheme="majorEastAsia" w:hAnsiTheme="majorEastAsia" w:eastAsiaTheme="majorEastAsia"/>
          <w:sz w:val="28"/>
          <w:szCs w:val="28"/>
        </w:rPr>
        <w:t>第三节大力弘扬企业家精神</w:t>
      </w:r>
      <w:r>
        <w:rPr>
          <w:sz w:val="28"/>
          <w:szCs w:val="28"/>
        </w:rPr>
        <w:tab/>
      </w:r>
      <w:r>
        <w:rPr>
          <w:sz w:val="28"/>
          <w:szCs w:val="28"/>
        </w:rPr>
        <w:fldChar w:fldCharType="begin"/>
      </w:r>
      <w:r>
        <w:rPr>
          <w:sz w:val="28"/>
          <w:szCs w:val="28"/>
        </w:rPr>
        <w:instrText xml:space="preserve"> PAGEREF _Toc64143004 \h </w:instrText>
      </w:r>
      <w:r>
        <w:rPr>
          <w:sz w:val="28"/>
          <w:szCs w:val="28"/>
        </w:rPr>
        <w:fldChar w:fldCharType="separate"/>
      </w:r>
      <w:r>
        <w:rPr>
          <w:sz w:val="28"/>
          <w:szCs w:val="28"/>
        </w:rPr>
        <w:t>- 29 -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"_Toc64143005" </w:instrText>
      </w:r>
      <w:r>
        <w:fldChar w:fldCharType="separate"/>
      </w:r>
      <w:r>
        <w:rPr>
          <w:rStyle w:val="15"/>
          <w:rFonts w:hint="eastAsia" w:cs="黑体" w:asciiTheme="majorEastAsia" w:hAnsiTheme="majorEastAsia" w:eastAsiaTheme="majorEastAsia"/>
          <w:bCs/>
          <w:sz w:val="28"/>
          <w:szCs w:val="28"/>
        </w:rPr>
        <w:t>第四章 加快构建现代经济体系，推动经济高质量发展</w:t>
      </w:r>
      <w:r>
        <w:rPr>
          <w:sz w:val="28"/>
          <w:szCs w:val="28"/>
        </w:rPr>
        <w:tab/>
      </w:r>
      <w:r>
        <w:rPr>
          <w:sz w:val="28"/>
          <w:szCs w:val="28"/>
        </w:rPr>
        <w:fldChar w:fldCharType="begin"/>
      </w:r>
      <w:r>
        <w:rPr>
          <w:sz w:val="28"/>
          <w:szCs w:val="28"/>
        </w:rPr>
        <w:instrText xml:space="preserve"> PAGEREF _Toc64143005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"_Toc64143006" </w:instrText>
      </w:r>
      <w:r>
        <w:fldChar w:fldCharType="separate"/>
      </w:r>
      <w:r>
        <w:rPr>
          <w:rStyle w:val="15"/>
          <w:rFonts w:hint="eastAsia" w:cs="楷体" w:asciiTheme="majorEastAsia" w:hAnsiTheme="majorEastAsia" w:eastAsiaTheme="majorEastAsia"/>
          <w:sz w:val="28"/>
          <w:szCs w:val="28"/>
        </w:rPr>
        <w:t>第一节全力推动金牌港开发区建设</w:t>
      </w:r>
      <w:r>
        <w:rPr>
          <w:sz w:val="28"/>
          <w:szCs w:val="28"/>
        </w:rPr>
        <w:tab/>
      </w:r>
      <w:r>
        <w:rPr>
          <w:sz w:val="28"/>
          <w:szCs w:val="28"/>
        </w:rPr>
        <w:fldChar w:fldCharType="begin"/>
      </w:r>
      <w:r>
        <w:rPr>
          <w:sz w:val="28"/>
          <w:szCs w:val="28"/>
        </w:rPr>
        <w:instrText xml:space="preserve"> PAGEREF _Toc64143006 \h </w:instrText>
      </w:r>
      <w:r>
        <w:rPr>
          <w:sz w:val="28"/>
          <w:szCs w:val="28"/>
        </w:rPr>
        <w:fldChar w:fldCharType="separate"/>
      </w:r>
      <w:r>
        <w:rPr>
          <w:sz w:val="28"/>
          <w:szCs w:val="28"/>
        </w:rPr>
        <w:t>- 32 -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"_Toc64143007" </w:instrText>
      </w:r>
      <w:r>
        <w:fldChar w:fldCharType="separate"/>
      </w:r>
      <w:r>
        <w:rPr>
          <w:rStyle w:val="15"/>
          <w:rFonts w:hint="eastAsia" w:cs="楷体" w:asciiTheme="majorEastAsia" w:hAnsiTheme="majorEastAsia" w:eastAsiaTheme="majorEastAsia"/>
          <w:sz w:val="28"/>
          <w:szCs w:val="28"/>
        </w:rPr>
        <w:t>第二节全力支持儋州机场建设</w:t>
      </w:r>
      <w:r>
        <w:rPr>
          <w:sz w:val="28"/>
          <w:szCs w:val="28"/>
        </w:rPr>
        <w:tab/>
      </w:r>
      <w:r>
        <w:rPr>
          <w:sz w:val="28"/>
          <w:szCs w:val="28"/>
        </w:rPr>
        <w:fldChar w:fldCharType="begin"/>
      </w:r>
      <w:r>
        <w:rPr>
          <w:sz w:val="28"/>
          <w:szCs w:val="28"/>
        </w:rPr>
        <w:instrText xml:space="preserve"> PAGEREF _Toc64143007 \h </w:instrText>
      </w:r>
      <w:r>
        <w:rPr>
          <w:sz w:val="28"/>
          <w:szCs w:val="28"/>
        </w:rPr>
        <w:fldChar w:fldCharType="separate"/>
      </w:r>
      <w:r>
        <w:rPr>
          <w:sz w:val="28"/>
          <w:szCs w:val="28"/>
        </w:rPr>
        <w:t>- 34 -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"_Toc64143008" </w:instrText>
      </w:r>
      <w:r>
        <w:fldChar w:fldCharType="separate"/>
      </w:r>
      <w:r>
        <w:rPr>
          <w:rStyle w:val="15"/>
          <w:rFonts w:hint="eastAsia" w:cs="楷体" w:asciiTheme="majorEastAsia" w:hAnsiTheme="majorEastAsia" w:eastAsiaTheme="majorEastAsia"/>
          <w:sz w:val="28"/>
          <w:szCs w:val="28"/>
        </w:rPr>
        <w:t>第三节做大做强热带高效农业</w:t>
      </w:r>
      <w:r>
        <w:rPr>
          <w:sz w:val="28"/>
          <w:szCs w:val="28"/>
        </w:rPr>
        <w:tab/>
      </w:r>
      <w:r>
        <w:rPr>
          <w:sz w:val="28"/>
          <w:szCs w:val="28"/>
        </w:rPr>
        <w:fldChar w:fldCharType="begin"/>
      </w:r>
      <w:r>
        <w:rPr>
          <w:sz w:val="28"/>
          <w:szCs w:val="28"/>
        </w:rPr>
        <w:instrText xml:space="preserve"> PAGEREF _Toc64143008 \h </w:instrText>
      </w:r>
      <w:r>
        <w:rPr>
          <w:sz w:val="28"/>
          <w:szCs w:val="28"/>
        </w:rPr>
        <w:fldChar w:fldCharType="separate"/>
      </w:r>
      <w:r>
        <w:rPr>
          <w:sz w:val="28"/>
          <w:szCs w:val="28"/>
        </w:rPr>
        <w:t>- 36 -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"_Toc64143009" </w:instrText>
      </w:r>
      <w:r>
        <w:fldChar w:fldCharType="separate"/>
      </w:r>
      <w:r>
        <w:rPr>
          <w:rStyle w:val="15"/>
          <w:rFonts w:hint="eastAsia" w:cs="仿宋" w:asciiTheme="majorEastAsia" w:hAnsiTheme="majorEastAsia" w:eastAsiaTheme="majorEastAsia"/>
          <w:sz w:val="28"/>
          <w:szCs w:val="28"/>
        </w:rPr>
        <w:t>第四节推动海洋渔业转型升级</w:t>
      </w:r>
      <w:r>
        <w:rPr>
          <w:sz w:val="28"/>
          <w:szCs w:val="28"/>
        </w:rPr>
        <w:tab/>
      </w:r>
      <w:r>
        <w:rPr>
          <w:sz w:val="28"/>
          <w:szCs w:val="28"/>
        </w:rPr>
        <w:fldChar w:fldCharType="begin"/>
      </w:r>
      <w:r>
        <w:rPr>
          <w:sz w:val="28"/>
          <w:szCs w:val="28"/>
        </w:rPr>
        <w:instrText xml:space="preserve"> PAGEREF _Toc64143009 \h </w:instrText>
      </w:r>
      <w:r>
        <w:rPr>
          <w:sz w:val="28"/>
          <w:szCs w:val="28"/>
        </w:rPr>
        <w:fldChar w:fldCharType="separate"/>
      </w:r>
      <w:r>
        <w:rPr>
          <w:sz w:val="28"/>
          <w:szCs w:val="28"/>
        </w:rPr>
        <w:t>- 39 -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"_Toc64143010" </w:instrText>
      </w:r>
      <w:r>
        <w:fldChar w:fldCharType="separate"/>
      </w:r>
      <w:r>
        <w:rPr>
          <w:rStyle w:val="15"/>
          <w:rFonts w:hint="eastAsia" w:cs="楷体" w:asciiTheme="majorEastAsia" w:hAnsiTheme="majorEastAsia" w:eastAsiaTheme="majorEastAsia"/>
          <w:sz w:val="28"/>
          <w:szCs w:val="28"/>
        </w:rPr>
        <w:t>第五节以农旅文旅为抓手加快旅游业发展</w:t>
      </w:r>
      <w:r>
        <w:rPr>
          <w:sz w:val="28"/>
          <w:szCs w:val="28"/>
        </w:rPr>
        <w:tab/>
      </w:r>
      <w:r>
        <w:rPr>
          <w:sz w:val="28"/>
          <w:szCs w:val="28"/>
        </w:rPr>
        <w:fldChar w:fldCharType="begin"/>
      </w:r>
      <w:r>
        <w:rPr>
          <w:sz w:val="28"/>
          <w:szCs w:val="28"/>
        </w:rPr>
        <w:instrText xml:space="preserve"> PAGEREF _Toc64143010 \h </w:instrText>
      </w:r>
      <w:r>
        <w:rPr>
          <w:sz w:val="28"/>
          <w:szCs w:val="28"/>
        </w:rPr>
        <w:fldChar w:fldCharType="separate"/>
      </w:r>
      <w:r>
        <w:rPr>
          <w:sz w:val="28"/>
          <w:szCs w:val="28"/>
        </w:rPr>
        <w:t>- 43 -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"_Toc64143011" </w:instrText>
      </w:r>
      <w:r>
        <w:fldChar w:fldCharType="separate"/>
      </w:r>
      <w:r>
        <w:rPr>
          <w:rStyle w:val="15"/>
          <w:rFonts w:hint="eastAsia" w:cs="楷体" w:asciiTheme="majorEastAsia" w:hAnsiTheme="majorEastAsia" w:eastAsiaTheme="majorEastAsia"/>
          <w:sz w:val="28"/>
          <w:szCs w:val="28"/>
        </w:rPr>
        <w:t>第六节积极参与国际旅游消费中心建设</w:t>
      </w:r>
      <w:r>
        <w:rPr>
          <w:sz w:val="28"/>
          <w:szCs w:val="28"/>
        </w:rPr>
        <w:tab/>
      </w:r>
      <w:r>
        <w:rPr>
          <w:sz w:val="28"/>
          <w:szCs w:val="28"/>
        </w:rPr>
        <w:fldChar w:fldCharType="begin"/>
      </w:r>
      <w:r>
        <w:rPr>
          <w:sz w:val="28"/>
          <w:szCs w:val="28"/>
        </w:rPr>
        <w:instrText xml:space="preserve"> PAGEREF _Toc64143011 \h </w:instrText>
      </w:r>
      <w:r>
        <w:rPr>
          <w:sz w:val="28"/>
          <w:szCs w:val="28"/>
        </w:rPr>
        <w:fldChar w:fldCharType="separate"/>
      </w:r>
      <w:r>
        <w:rPr>
          <w:sz w:val="28"/>
          <w:szCs w:val="28"/>
        </w:rPr>
        <w:t>- 46 -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"_Toc64143012" </w:instrText>
      </w:r>
      <w:r>
        <w:fldChar w:fldCharType="separate"/>
      </w:r>
      <w:r>
        <w:rPr>
          <w:rStyle w:val="15"/>
          <w:rFonts w:hint="eastAsia" w:cs="仿宋_GB2312" w:asciiTheme="majorEastAsia" w:hAnsiTheme="majorEastAsia" w:eastAsiaTheme="majorEastAsia"/>
          <w:bCs/>
          <w:sz w:val="28"/>
          <w:szCs w:val="28"/>
        </w:rPr>
        <w:t>第七节积极推动现代服务业发展</w:t>
      </w:r>
      <w:r>
        <w:rPr>
          <w:sz w:val="28"/>
          <w:szCs w:val="28"/>
        </w:rPr>
        <w:tab/>
      </w:r>
      <w:r>
        <w:rPr>
          <w:sz w:val="28"/>
          <w:szCs w:val="28"/>
        </w:rPr>
        <w:fldChar w:fldCharType="begin"/>
      </w:r>
      <w:r>
        <w:rPr>
          <w:sz w:val="28"/>
          <w:szCs w:val="28"/>
        </w:rPr>
        <w:instrText xml:space="preserve"> PAGEREF _Toc64143012 \h </w:instrText>
      </w:r>
      <w:r>
        <w:rPr>
          <w:sz w:val="28"/>
          <w:szCs w:val="28"/>
        </w:rPr>
        <w:fldChar w:fldCharType="separate"/>
      </w:r>
      <w:r>
        <w:rPr>
          <w:sz w:val="28"/>
          <w:szCs w:val="28"/>
        </w:rPr>
        <w:t>- 49 -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"_Toc64143013" </w:instrText>
      </w:r>
      <w:r>
        <w:fldChar w:fldCharType="separate"/>
      </w:r>
      <w:r>
        <w:rPr>
          <w:rStyle w:val="15"/>
          <w:rFonts w:hint="eastAsia" w:cs="仿宋_GB2312" w:asciiTheme="majorEastAsia" w:hAnsiTheme="majorEastAsia" w:eastAsiaTheme="majorEastAsia"/>
          <w:bCs/>
          <w:sz w:val="28"/>
          <w:szCs w:val="28"/>
        </w:rPr>
        <w:t>第八节培育壮大新产业新业态</w:t>
      </w:r>
      <w:r>
        <w:rPr>
          <w:sz w:val="28"/>
          <w:szCs w:val="28"/>
        </w:rPr>
        <w:tab/>
      </w:r>
      <w:r>
        <w:rPr>
          <w:sz w:val="28"/>
          <w:szCs w:val="28"/>
        </w:rPr>
        <w:fldChar w:fldCharType="begin"/>
      </w:r>
      <w:r>
        <w:rPr>
          <w:sz w:val="28"/>
          <w:szCs w:val="28"/>
        </w:rPr>
        <w:instrText xml:space="preserve"> PAGEREF _Toc64143013 \h </w:instrText>
      </w:r>
      <w:r>
        <w:rPr>
          <w:sz w:val="28"/>
          <w:szCs w:val="28"/>
        </w:rPr>
        <w:fldChar w:fldCharType="separate"/>
      </w:r>
      <w:r>
        <w:rPr>
          <w:sz w:val="28"/>
          <w:szCs w:val="28"/>
        </w:rPr>
        <w:t>- 51 -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"_Toc64143014" </w:instrText>
      </w:r>
      <w:r>
        <w:fldChar w:fldCharType="separate"/>
      </w:r>
      <w:r>
        <w:rPr>
          <w:rStyle w:val="15"/>
          <w:rFonts w:hint="eastAsia" w:cs="仿宋" w:asciiTheme="majorEastAsia" w:hAnsiTheme="majorEastAsia" w:eastAsiaTheme="majorEastAsia"/>
          <w:sz w:val="28"/>
          <w:szCs w:val="28"/>
        </w:rPr>
        <w:t>第五章 坚持创新驱动发展，不断培育发展新动能</w:t>
      </w:r>
      <w:r>
        <w:rPr>
          <w:sz w:val="28"/>
          <w:szCs w:val="28"/>
        </w:rPr>
        <w:tab/>
      </w:r>
      <w:r>
        <w:rPr>
          <w:sz w:val="28"/>
          <w:szCs w:val="28"/>
        </w:rPr>
        <w:fldChar w:fldCharType="begin"/>
      </w:r>
      <w:r>
        <w:rPr>
          <w:sz w:val="28"/>
          <w:szCs w:val="28"/>
        </w:rPr>
        <w:instrText xml:space="preserve"> PAGEREF _Toc64143014 \h </w:instrText>
      </w:r>
      <w:r>
        <w:rPr>
          <w:sz w:val="28"/>
          <w:szCs w:val="28"/>
        </w:rPr>
        <w:fldChar w:fldCharType="separate"/>
      </w:r>
      <w:r>
        <w:rPr>
          <w:sz w:val="28"/>
          <w:szCs w:val="28"/>
        </w:rPr>
        <w:t>- 55 -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"_Toc64143015" </w:instrText>
      </w:r>
      <w:r>
        <w:fldChar w:fldCharType="separate"/>
      </w:r>
      <w:r>
        <w:rPr>
          <w:rStyle w:val="15"/>
          <w:rFonts w:hint="eastAsia" w:cs="楷体" w:asciiTheme="majorEastAsia" w:hAnsiTheme="majorEastAsia" w:eastAsiaTheme="majorEastAsia"/>
          <w:sz w:val="28"/>
          <w:szCs w:val="28"/>
        </w:rPr>
        <w:t>第一节大力实施科技兴县战略</w:t>
      </w:r>
      <w:r>
        <w:rPr>
          <w:sz w:val="28"/>
          <w:szCs w:val="28"/>
        </w:rPr>
        <w:tab/>
      </w:r>
      <w:r>
        <w:rPr>
          <w:sz w:val="28"/>
          <w:szCs w:val="28"/>
        </w:rPr>
        <w:fldChar w:fldCharType="begin"/>
      </w:r>
      <w:r>
        <w:rPr>
          <w:sz w:val="28"/>
          <w:szCs w:val="28"/>
        </w:rPr>
        <w:instrText xml:space="preserve"> PAGEREF _Toc64143015 \h </w:instrText>
      </w:r>
      <w:r>
        <w:rPr>
          <w:sz w:val="28"/>
          <w:szCs w:val="28"/>
        </w:rPr>
        <w:fldChar w:fldCharType="separate"/>
      </w:r>
      <w:r>
        <w:rPr>
          <w:sz w:val="28"/>
          <w:szCs w:val="28"/>
        </w:rPr>
        <w:t>- 56 -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"_Toc64143016" </w:instrText>
      </w:r>
      <w:r>
        <w:fldChar w:fldCharType="separate"/>
      </w:r>
      <w:r>
        <w:rPr>
          <w:rStyle w:val="15"/>
          <w:rFonts w:hint="eastAsia" w:cs="楷体" w:asciiTheme="majorEastAsia" w:hAnsiTheme="majorEastAsia" w:eastAsiaTheme="majorEastAsia"/>
          <w:sz w:val="28"/>
          <w:szCs w:val="28"/>
        </w:rPr>
        <w:t>第二节大力实施人才强县战略</w:t>
      </w:r>
      <w:r>
        <w:rPr>
          <w:sz w:val="28"/>
          <w:szCs w:val="28"/>
        </w:rPr>
        <w:tab/>
      </w:r>
      <w:r>
        <w:rPr>
          <w:sz w:val="28"/>
          <w:szCs w:val="28"/>
        </w:rPr>
        <w:fldChar w:fldCharType="begin"/>
      </w:r>
      <w:r>
        <w:rPr>
          <w:sz w:val="28"/>
          <w:szCs w:val="28"/>
        </w:rPr>
        <w:instrText xml:space="preserve"> PAGEREF _Toc64143016 \h </w:instrText>
      </w:r>
      <w:r>
        <w:rPr>
          <w:sz w:val="28"/>
          <w:szCs w:val="28"/>
        </w:rPr>
        <w:fldChar w:fldCharType="separate"/>
      </w:r>
      <w:r>
        <w:rPr>
          <w:sz w:val="28"/>
          <w:szCs w:val="28"/>
        </w:rPr>
        <w:t>- 58 -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"_Toc64143017" </w:instrText>
      </w:r>
      <w:r>
        <w:fldChar w:fldCharType="separate"/>
      </w:r>
      <w:r>
        <w:rPr>
          <w:rStyle w:val="15"/>
          <w:rFonts w:hint="eastAsia" w:cs="楷体" w:asciiTheme="majorEastAsia" w:hAnsiTheme="majorEastAsia" w:eastAsiaTheme="majorEastAsia"/>
          <w:bCs/>
          <w:sz w:val="28"/>
          <w:szCs w:val="28"/>
        </w:rPr>
        <w:t>第三节大力推动数字化发展</w:t>
      </w:r>
      <w:r>
        <w:rPr>
          <w:sz w:val="28"/>
          <w:szCs w:val="28"/>
        </w:rPr>
        <w:tab/>
      </w:r>
      <w:r>
        <w:rPr>
          <w:sz w:val="28"/>
          <w:szCs w:val="28"/>
        </w:rPr>
        <w:fldChar w:fldCharType="begin"/>
      </w:r>
      <w:r>
        <w:rPr>
          <w:sz w:val="28"/>
          <w:szCs w:val="28"/>
        </w:rPr>
        <w:instrText xml:space="preserve"> PAGEREF _Toc64143017 \h </w:instrText>
      </w:r>
      <w:r>
        <w:rPr>
          <w:sz w:val="28"/>
          <w:szCs w:val="28"/>
        </w:rPr>
        <w:fldChar w:fldCharType="separate"/>
      </w:r>
      <w:r>
        <w:rPr>
          <w:sz w:val="28"/>
          <w:szCs w:val="28"/>
        </w:rPr>
        <w:t>- 59 -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"_Toc64143018" </w:instrText>
      </w:r>
      <w:r>
        <w:fldChar w:fldCharType="separate"/>
      </w:r>
      <w:r>
        <w:rPr>
          <w:rStyle w:val="15"/>
          <w:rFonts w:hint="eastAsia" w:cs="楷体" w:asciiTheme="majorEastAsia" w:hAnsiTheme="majorEastAsia" w:eastAsiaTheme="majorEastAsia"/>
          <w:sz w:val="28"/>
          <w:szCs w:val="28"/>
        </w:rPr>
        <w:t>第四节坚决打好招商引资攻坚战</w:t>
      </w:r>
      <w:r>
        <w:rPr>
          <w:sz w:val="28"/>
          <w:szCs w:val="28"/>
        </w:rPr>
        <w:tab/>
      </w:r>
      <w:r>
        <w:rPr>
          <w:sz w:val="28"/>
          <w:szCs w:val="28"/>
        </w:rPr>
        <w:fldChar w:fldCharType="begin"/>
      </w:r>
      <w:r>
        <w:rPr>
          <w:sz w:val="28"/>
          <w:szCs w:val="28"/>
        </w:rPr>
        <w:instrText xml:space="preserve"> PAGEREF _Toc64143018 \h </w:instrText>
      </w:r>
      <w:r>
        <w:rPr>
          <w:sz w:val="28"/>
          <w:szCs w:val="28"/>
        </w:rPr>
        <w:fldChar w:fldCharType="separate"/>
      </w:r>
      <w:r>
        <w:rPr>
          <w:sz w:val="28"/>
          <w:szCs w:val="28"/>
        </w:rPr>
        <w:t>- 61 -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"_Toc64143019" </w:instrText>
      </w:r>
      <w:r>
        <w:fldChar w:fldCharType="separate"/>
      </w:r>
      <w:r>
        <w:rPr>
          <w:rStyle w:val="15"/>
          <w:rFonts w:hint="eastAsia" w:cs="黑体" w:asciiTheme="majorEastAsia" w:hAnsiTheme="majorEastAsia" w:eastAsiaTheme="majorEastAsia"/>
          <w:sz w:val="28"/>
          <w:szCs w:val="28"/>
        </w:rPr>
        <w:t>第六章 围绕农村农业现代化，全面推进乡村振兴</w:t>
      </w:r>
      <w:r>
        <w:rPr>
          <w:sz w:val="28"/>
          <w:szCs w:val="28"/>
        </w:rPr>
        <w:tab/>
      </w:r>
      <w:r>
        <w:rPr>
          <w:sz w:val="28"/>
          <w:szCs w:val="28"/>
        </w:rPr>
        <w:fldChar w:fldCharType="begin"/>
      </w:r>
      <w:r>
        <w:rPr>
          <w:sz w:val="28"/>
          <w:szCs w:val="28"/>
        </w:rPr>
        <w:instrText xml:space="preserve"> PAGEREF _Toc64143019 \h </w:instrText>
      </w:r>
      <w:r>
        <w:rPr>
          <w:sz w:val="28"/>
          <w:szCs w:val="28"/>
        </w:rPr>
        <w:fldChar w:fldCharType="separate"/>
      </w:r>
      <w:r>
        <w:rPr>
          <w:sz w:val="28"/>
          <w:szCs w:val="28"/>
        </w:rPr>
        <w:t>- 63 -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"_Toc64143020" </w:instrText>
      </w:r>
      <w:r>
        <w:fldChar w:fldCharType="separate"/>
      </w:r>
      <w:r>
        <w:rPr>
          <w:rStyle w:val="15"/>
          <w:rFonts w:hint="eastAsia" w:cs="仿宋_GB2312" w:asciiTheme="majorEastAsia" w:hAnsiTheme="majorEastAsia" w:eastAsiaTheme="majorEastAsia"/>
          <w:bCs/>
          <w:sz w:val="28"/>
          <w:szCs w:val="28"/>
        </w:rPr>
        <w:t>第一节巩固拓展脱贫攻坚成果</w:t>
      </w:r>
      <w:r>
        <w:rPr>
          <w:sz w:val="28"/>
          <w:szCs w:val="28"/>
        </w:rPr>
        <w:tab/>
      </w:r>
      <w:r>
        <w:rPr>
          <w:sz w:val="28"/>
          <w:szCs w:val="28"/>
        </w:rPr>
        <w:fldChar w:fldCharType="begin"/>
      </w:r>
      <w:r>
        <w:rPr>
          <w:sz w:val="28"/>
          <w:szCs w:val="28"/>
        </w:rPr>
        <w:instrText xml:space="preserve"> PAGEREF _Toc64143020 \h </w:instrText>
      </w:r>
      <w:r>
        <w:rPr>
          <w:sz w:val="28"/>
          <w:szCs w:val="28"/>
        </w:rPr>
        <w:fldChar w:fldCharType="separate"/>
      </w:r>
      <w:r>
        <w:rPr>
          <w:sz w:val="28"/>
          <w:szCs w:val="28"/>
        </w:rPr>
        <w:t>- 63 -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"_Toc64143021" </w:instrText>
      </w:r>
      <w:r>
        <w:fldChar w:fldCharType="separate"/>
      </w:r>
      <w:r>
        <w:rPr>
          <w:rStyle w:val="15"/>
          <w:rFonts w:hint="eastAsia" w:cs="仿宋_GB2312" w:asciiTheme="majorEastAsia" w:hAnsiTheme="majorEastAsia" w:eastAsiaTheme="majorEastAsia"/>
          <w:bCs/>
          <w:sz w:val="28"/>
          <w:szCs w:val="28"/>
        </w:rPr>
        <w:t>第二节推动乡村产业全面振兴</w:t>
      </w:r>
      <w:r>
        <w:rPr>
          <w:sz w:val="28"/>
          <w:szCs w:val="28"/>
        </w:rPr>
        <w:tab/>
      </w:r>
      <w:r>
        <w:rPr>
          <w:sz w:val="28"/>
          <w:szCs w:val="28"/>
        </w:rPr>
        <w:fldChar w:fldCharType="begin"/>
      </w:r>
      <w:r>
        <w:rPr>
          <w:sz w:val="28"/>
          <w:szCs w:val="28"/>
        </w:rPr>
        <w:instrText xml:space="preserve"> PAGEREF _Toc64143021 \h </w:instrText>
      </w:r>
      <w:r>
        <w:rPr>
          <w:sz w:val="28"/>
          <w:szCs w:val="28"/>
        </w:rPr>
        <w:fldChar w:fldCharType="separate"/>
      </w:r>
      <w:r>
        <w:rPr>
          <w:sz w:val="28"/>
          <w:szCs w:val="28"/>
        </w:rPr>
        <w:t>- 64 -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"_Toc64143022" </w:instrText>
      </w:r>
      <w:r>
        <w:fldChar w:fldCharType="separate"/>
      </w:r>
      <w:r>
        <w:rPr>
          <w:rStyle w:val="15"/>
          <w:rFonts w:hint="eastAsia" w:cs="仿宋_GB2312" w:asciiTheme="majorEastAsia" w:hAnsiTheme="majorEastAsia" w:eastAsiaTheme="majorEastAsia"/>
          <w:bCs/>
          <w:sz w:val="28"/>
          <w:szCs w:val="28"/>
        </w:rPr>
        <w:t>第三节</w:t>
      </w:r>
      <w:r>
        <w:rPr>
          <w:rStyle w:val="15"/>
          <w:rFonts w:hint="eastAsia" w:cs="楷体_GB2312" w:asciiTheme="majorEastAsia" w:hAnsiTheme="majorEastAsia" w:eastAsiaTheme="majorEastAsia"/>
          <w:sz w:val="28"/>
          <w:szCs w:val="28"/>
        </w:rPr>
        <w:t>全面实施乡村建设行动</w:t>
      </w:r>
      <w:r>
        <w:rPr>
          <w:sz w:val="28"/>
          <w:szCs w:val="28"/>
        </w:rPr>
        <w:tab/>
      </w:r>
      <w:r>
        <w:rPr>
          <w:sz w:val="28"/>
          <w:szCs w:val="28"/>
        </w:rPr>
        <w:fldChar w:fldCharType="begin"/>
      </w:r>
      <w:r>
        <w:rPr>
          <w:sz w:val="28"/>
          <w:szCs w:val="28"/>
        </w:rPr>
        <w:instrText xml:space="preserve"> PAGEREF _Toc64143022 \h </w:instrText>
      </w:r>
      <w:r>
        <w:rPr>
          <w:sz w:val="28"/>
          <w:szCs w:val="28"/>
        </w:rPr>
        <w:fldChar w:fldCharType="separate"/>
      </w:r>
      <w:r>
        <w:rPr>
          <w:sz w:val="28"/>
          <w:szCs w:val="28"/>
        </w:rPr>
        <w:t>- 66 -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"_Toc64143023" </w:instrText>
      </w:r>
      <w:r>
        <w:fldChar w:fldCharType="separate"/>
      </w:r>
      <w:r>
        <w:rPr>
          <w:rStyle w:val="15"/>
          <w:rFonts w:hint="eastAsia" w:cs="仿宋_GB2312" w:asciiTheme="majorEastAsia" w:hAnsiTheme="majorEastAsia" w:eastAsiaTheme="majorEastAsia"/>
          <w:bCs/>
          <w:sz w:val="28"/>
          <w:szCs w:val="28"/>
        </w:rPr>
        <w:t>第四节全面深化农村改革</w:t>
      </w:r>
      <w:r>
        <w:rPr>
          <w:sz w:val="28"/>
          <w:szCs w:val="28"/>
        </w:rPr>
        <w:tab/>
      </w:r>
      <w:r>
        <w:rPr>
          <w:sz w:val="28"/>
          <w:szCs w:val="28"/>
        </w:rPr>
        <w:fldChar w:fldCharType="begin"/>
      </w:r>
      <w:r>
        <w:rPr>
          <w:sz w:val="28"/>
          <w:szCs w:val="28"/>
        </w:rPr>
        <w:instrText xml:space="preserve"> PAGEREF _Toc64143023 \h </w:instrText>
      </w:r>
      <w:r>
        <w:rPr>
          <w:sz w:val="28"/>
          <w:szCs w:val="28"/>
        </w:rPr>
        <w:fldChar w:fldCharType="separate"/>
      </w:r>
      <w:r>
        <w:rPr>
          <w:sz w:val="28"/>
          <w:szCs w:val="28"/>
        </w:rPr>
        <w:t>- 68 -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"_Toc64143024" </w:instrText>
      </w:r>
      <w:r>
        <w:fldChar w:fldCharType="separate"/>
      </w:r>
      <w:r>
        <w:rPr>
          <w:rStyle w:val="15"/>
          <w:rFonts w:hint="eastAsia" w:cs="仿宋_GB2312" w:asciiTheme="majorEastAsia" w:hAnsiTheme="majorEastAsia" w:eastAsiaTheme="majorEastAsia"/>
          <w:bCs/>
          <w:sz w:val="28"/>
          <w:szCs w:val="28"/>
        </w:rPr>
        <w:t>第七章 统筹区域协调发展，加快推进城乡一体化</w:t>
      </w:r>
      <w:r>
        <w:rPr>
          <w:sz w:val="28"/>
          <w:szCs w:val="28"/>
        </w:rPr>
        <w:tab/>
      </w:r>
      <w:r>
        <w:rPr>
          <w:sz w:val="28"/>
          <w:szCs w:val="28"/>
        </w:rPr>
        <w:fldChar w:fldCharType="begin"/>
      </w:r>
      <w:r>
        <w:rPr>
          <w:sz w:val="28"/>
          <w:szCs w:val="28"/>
        </w:rPr>
        <w:instrText xml:space="preserve"> PAGEREF _Toc64143024 \h </w:instrText>
      </w:r>
      <w:r>
        <w:rPr>
          <w:sz w:val="28"/>
          <w:szCs w:val="28"/>
        </w:rPr>
        <w:fldChar w:fldCharType="separate"/>
      </w:r>
      <w:r>
        <w:rPr>
          <w:sz w:val="28"/>
          <w:szCs w:val="28"/>
        </w:rPr>
        <w:t>- 71 -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"_Toc64143025" </w:instrText>
      </w:r>
      <w:r>
        <w:fldChar w:fldCharType="separate"/>
      </w:r>
      <w:r>
        <w:rPr>
          <w:rStyle w:val="15"/>
          <w:rFonts w:hint="eastAsia" w:cs="楷体" w:asciiTheme="majorEastAsia" w:hAnsiTheme="majorEastAsia" w:eastAsiaTheme="majorEastAsia"/>
          <w:bCs/>
          <w:sz w:val="28"/>
          <w:szCs w:val="28"/>
        </w:rPr>
        <w:t>第一节推进新型城镇化</w:t>
      </w:r>
      <w:r>
        <w:rPr>
          <w:sz w:val="28"/>
          <w:szCs w:val="28"/>
        </w:rPr>
        <w:tab/>
      </w:r>
      <w:r>
        <w:rPr>
          <w:sz w:val="28"/>
          <w:szCs w:val="28"/>
        </w:rPr>
        <w:fldChar w:fldCharType="begin"/>
      </w:r>
      <w:r>
        <w:rPr>
          <w:sz w:val="28"/>
          <w:szCs w:val="28"/>
        </w:rPr>
        <w:instrText xml:space="preserve"> PAGEREF _Toc64143025 \h </w:instrText>
      </w:r>
      <w:r>
        <w:rPr>
          <w:sz w:val="28"/>
          <w:szCs w:val="28"/>
        </w:rPr>
        <w:fldChar w:fldCharType="separate"/>
      </w:r>
      <w:r>
        <w:rPr>
          <w:sz w:val="28"/>
          <w:szCs w:val="28"/>
        </w:rPr>
        <w:t>- 71 -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"_Toc64143026" </w:instrText>
      </w:r>
      <w:r>
        <w:fldChar w:fldCharType="separate"/>
      </w:r>
      <w:r>
        <w:rPr>
          <w:rStyle w:val="15"/>
          <w:rFonts w:hint="eastAsia" w:cs="楷体" w:asciiTheme="majorEastAsia" w:hAnsiTheme="majorEastAsia" w:eastAsiaTheme="majorEastAsia"/>
          <w:bCs/>
          <w:sz w:val="28"/>
          <w:szCs w:val="28"/>
        </w:rPr>
        <w:t>第二节加快完善现代基础设施体系</w:t>
      </w:r>
      <w:r>
        <w:rPr>
          <w:sz w:val="28"/>
          <w:szCs w:val="28"/>
        </w:rPr>
        <w:tab/>
      </w:r>
      <w:r>
        <w:rPr>
          <w:sz w:val="28"/>
          <w:szCs w:val="28"/>
        </w:rPr>
        <w:fldChar w:fldCharType="begin"/>
      </w:r>
      <w:r>
        <w:rPr>
          <w:sz w:val="28"/>
          <w:szCs w:val="28"/>
        </w:rPr>
        <w:instrText xml:space="preserve"> PAGEREF _Toc64143026 \h </w:instrText>
      </w:r>
      <w:r>
        <w:rPr>
          <w:sz w:val="28"/>
          <w:szCs w:val="28"/>
        </w:rPr>
        <w:fldChar w:fldCharType="separate"/>
      </w:r>
      <w:r>
        <w:rPr>
          <w:sz w:val="28"/>
          <w:szCs w:val="28"/>
        </w:rPr>
        <w:t>- 75 -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"_Toc64143027" </w:instrText>
      </w:r>
      <w:r>
        <w:fldChar w:fldCharType="separate"/>
      </w:r>
      <w:r>
        <w:rPr>
          <w:rStyle w:val="15"/>
          <w:rFonts w:hint="eastAsia" w:cs="楷体" w:asciiTheme="majorEastAsia" w:hAnsiTheme="majorEastAsia" w:eastAsiaTheme="majorEastAsia"/>
          <w:bCs/>
          <w:sz w:val="28"/>
          <w:szCs w:val="28"/>
        </w:rPr>
        <w:t>第三节全面提升城乡规划管理建设水平</w:t>
      </w:r>
      <w:r>
        <w:rPr>
          <w:sz w:val="28"/>
          <w:szCs w:val="28"/>
        </w:rPr>
        <w:tab/>
      </w:r>
      <w:r>
        <w:rPr>
          <w:sz w:val="28"/>
          <w:szCs w:val="28"/>
        </w:rPr>
        <w:fldChar w:fldCharType="begin"/>
      </w:r>
      <w:r>
        <w:rPr>
          <w:sz w:val="28"/>
          <w:szCs w:val="28"/>
        </w:rPr>
        <w:instrText xml:space="preserve"> PAGEREF _Toc64143027 \h </w:instrText>
      </w:r>
      <w:r>
        <w:rPr>
          <w:sz w:val="28"/>
          <w:szCs w:val="28"/>
        </w:rPr>
        <w:fldChar w:fldCharType="separate"/>
      </w:r>
      <w:r>
        <w:rPr>
          <w:sz w:val="28"/>
          <w:szCs w:val="28"/>
        </w:rPr>
        <w:t>- 81 -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"_Toc64143028" </w:instrText>
      </w:r>
      <w:r>
        <w:fldChar w:fldCharType="separate"/>
      </w:r>
      <w:r>
        <w:rPr>
          <w:rStyle w:val="15"/>
          <w:rFonts w:hint="eastAsia" w:cs="仿宋_GB2312" w:asciiTheme="majorEastAsia" w:hAnsiTheme="majorEastAsia" w:eastAsiaTheme="majorEastAsia"/>
          <w:bCs/>
          <w:sz w:val="28"/>
          <w:szCs w:val="28"/>
        </w:rPr>
        <w:t>第八章 加快文化大繁荣大发展，提升文化软实力</w:t>
      </w:r>
      <w:r>
        <w:rPr>
          <w:sz w:val="28"/>
          <w:szCs w:val="28"/>
        </w:rPr>
        <w:tab/>
      </w:r>
      <w:r>
        <w:rPr>
          <w:sz w:val="28"/>
          <w:szCs w:val="28"/>
        </w:rPr>
        <w:fldChar w:fldCharType="begin"/>
      </w:r>
      <w:r>
        <w:rPr>
          <w:sz w:val="28"/>
          <w:szCs w:val="28"/>
        </w:rPr>
        <w:instrText xml:space="preserve"> PAGEREF _Toc64143028 \h </w:instrText>
      </w:r>
      <w:r>
        <w:rPr>
          <w:sz w:val="28"/>
          <w:szCs w:val="28"/>
        </w:rPr>
        <w:fldChar w:fldCharType="separate"/>
      </w:r>
      <w:r>
        <w:rPr>
          <w:sz w:val="28"/>
          <w:szCs w:val="28"/>
        </w:rPr>
        <w:t>- 85 -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"_Toc64143029" </w:instrText>
      </w:r>
      <w:r>
        <w:fldChar w:fldCharType="separate"/>
      </w:r>
      <w:r>
        <w:rPr>
          <w:rStyle w:val="15"/>
          <w:rFonts w:hint="eastAsia" w:cs="楷体_GB2312" w:asciiTheme="majorEastAsia" w:hAnsiTheme="majorEastAsia" w:eastAsiaTheme="majorEastAsia"/>
          <w:sz w:val="28"/>
          <w:szCs w:val="28"/>
        </w:rPr>
        <w:t>第一节不断提高社会文明程度</w:t>
      </w:r>
      <w:r>
        <w:rPr>
          <w:sz w:val="28"/>
          <w:szCs w:val="28"/>
        </w:rPr>
        <w:tab/>
      </w:r>
      <w:r>
        <w:rPr>
          <w:sz w:val="28"/>
          <w:szCs w:val="28"/>
        </w:rPr>
        <w:fldChar w:fldCharType="begin"/>
      </w:r>
      <w:r>
        <w:rPr>
          <w:sz w:val="28"/>
          <w:szCs w:val="28"/>
        </w:rPr>
        <w:instrText xml:space="preserve"> PAGEREF _Toc64143029 \h </w:instrText>
      </w:r>
      <w:r>
        <w:rPr>
          <w:sz w:val="28"/>
          <w:szCs w:val="28"/>
        </w:rPr>
        <w:fldChar w:fldCharType="separate"/>
      </w:r>
      <w:r>
        <w:rPr>
          <w:sz w:val="28"/>
          <w:szCs w:val="28"/>
        </w:rPr>
        <w:t>- 85 -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"_Toc64143030" </w:instrText>
      </w:r>
      <w:r>
        <w:fldChar w:fldCharType="separate"/>
      </w:r>
      <w:r>
        <w:rPr>
          <w:rStyle w:val="15"/>
          <w:rFonts w:hint="eastAsia" w:cs="楷体_GB2312" w:asciiTheme="majorEastAsia" w:hAnsiTheme="majorEastAsia" w:eastAsiaTheme="majorEastAsia"/>
          <w:sz w:val="28"/>
          <w:szCs w:val="28"/>
        </w:rPr>
        <w:t>第二节加快文化体育事业发展</w:t>
      </w:r>
      <w:r>
        <w:rPr>
          <w:sz w:val="28"/>
          <w:szCs w:val="28"/>
        </w:rPr>
        <w:tab/>
      </w:r>
      <w:r>
        <w:rPr>
          <w:sz w:val="28"/>
          <w:szCs w:val="28"/>
        </w:rPr>
        <w:fldChar w:fldCharType="begin"/>
      </w:r>
      <w:r>
        <w:rPr>
          <w:sz w:val="28"/>
          <w:szCs w:val="28"/>
        </w:rPr>
        <w:instrText xml:space="preserve"> PAGEREF _Toc64143030 \h </w:instrText>
      </w:r>
      <w:r>
        <w:rPr>
          <w:sz w:val="28"/>
          <w:szCs w:val="28"/>
        </w:rPr>
        <w:fldChar w:fldCharType="separate"/>
      </w:r>
      <w:r>
        <w:rPr>
          <w:sz w:val="28"/>
          <w:szCs w:val="28"/>
        </w:rPr>
        <w:t>- 86 -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"_Toc64143031" </w:instrText>
      </w:r>
      <w:r>
        <w:fldChar w:fldCharType="separate"/>
      </w:r>
      <w:r>
        <w:rPr>
          <w:rStyle w:val="15"/>
          <w:rFonts w:hint="eastAsia" w:cs="仿宋_GB2312" w:asciiTheme="majorEastAsia" w:hAnsiTheme="majorEastAsia" w:eastAsiaTheme="majorEastAsia"/>
          <w:bCs/>
          <w:sz w:val="28"/>
          <w:szCs w:val="28"/>
        </w:rPr>
        <w:t>第九章 坚持绿色发展，持续提升生态环境质量</w:t>
      </w:r>
      <w:r>
        <w:rPr>
          <w:sz w:val="28"/>
          <w:szCs w:val="28"/>
        </w:rPr>
        <w:tab/>
      </w:r>
      <w:r>
        <w:rPr>
          <w:sz w:val="28"/>
          <w:szCs w:val="28"/>
        </w:rPr>
        <w:fldChar w:fldCharType="begin"/>
      </w:r>
      <w:r>
        <w:rPr>
          <w:sz w:val="28"/>
          <w:szCs w:val="28"/>
        </w:rPr>
        <w:instrText xml:space="preserve"> PAGEREF _Toc64143031 \h </w:instrText>
      </w:r>
      <w:r>
        <w:rPr>
          <w:sz w:val="28"/>
          <w:szCs w:val="28"/>
        </w:rPr>
        <w:fldChar w:fldCharType="separate"/>
      </w:r>
      <w:r>
        <w:rPr>
          <w:sz w:val="28"/>
          <w:szCs w:val="28"/>
        </w:rPr>
        <w:t>- 89 -</w:t>
      </w:r>
      <w:r>
        <w:rPr>
          <w:sz w:val="28"/>
          <w:szCs w:val="28"/>
        </w:rPr>
        <w:fldChar w:fldCharType="end"/>
      </w:r>
      <w:r>
        <w:rPr>
          <w:sz w:val="28"/>
          <w:szCs w:val="28"/>
        </w:rPr>
        <w:fldChar w:fldCharType="end"/>
      </w:r>
    </w:p>
    <w:p>
      <w:pPr>
        <w:pStyle w:val="9"/>
        <w:tabs>
          <w:tab w:val="right" w:leader="dot" w:pos="8834"/>
        </w:tabs>
        <w:ind w:firstLine="420" w:firstLineChars="200"/>
        <w:rPr>
          <w:rFonts w:asciiTheme="minorHAnsi" w:hAnsiTheme="minorHAnsi" w:eastAsiaTheme="minorEastAsia" w:cstheme="minorBidi"/>
          <w:sz w:val="28"/>
          <w:szCs w:val="28"/>
        </w:rPr>
      </w:pPr>
      <w:r>
        <w:fldChar w:fldCharType="begin"/>
      </w:r>
      <w:r>
        <w:instrText xml:space="preserve"> HYPERLINK \l "_Toc64143032" </w:instrText>
      </w:r>
      <w:r>
        <w:fldChar w:fldCharType="separate"/>
      </w:r>
      <w:r>
        <w:rPr>
          <w:rStyle w:val="15"/>
          <w:rFonts w:hint="eastAsia" w:cs="仿宋_GB2312" w:asciiTheme="majorEastAsia" w:hAnsiTheme="majorEastAsia" w:eastAsiaTheme="majorEastAsia"/>
          <w:bCs/>
          <w:sz w:val="28"/>
          <w:szCs w:val="28"/>
        </w:rPr>
        <w:t>第一节推动“一项工程、两张名片”建设</w:t>
      </w:r>
      <w:r>
        <w:rPr>
          <w:sz w:val="28"/>
          <w:szCs w:val="28"/>
        </w:rPr>
        <w:tab/>
      </w:r>
      <w:r>
        <w:rPr>
          <w:sz w:val="28"/>
          <w:szCs w:val="28"/>
        </w:rPr>
        <w:fldChar w:fldCharType="begin"/>
      </w:r>
      <w:r>
        <w:rPr>
          <w:sz w:val="28"/>
          <w:szCs w:val="28"/>
        </w:rPr>
        <w:instrText xml:space="preserve"> PAGEREF _Toc64143032 \h </w:instrText>
      </w:r>
      <w:r>
        <w:rPr>
          <w:sz w:val="28"/>
          <w:szCs w:val="28"/>
        </w:rPr>
        <w:fldChar w:fldCharType="separate"/>
      </w:r>
      <w:r>
        <w:rPr>
          <w:sz w:val="28"/>
          <w:szCs w:val="28"/>
        </w:rPr>
        <w:t>- 90 -</w:t>
      </w:r>
      <w:r>
        <w:rPr>
          <w:sz w:val="28"/>
          <w:szCs w:val="28"/>
        </w:rPr>
        <w:fldChar w:fldCharType="end"/>
      </w:r>
      <w:r>
        <w:rPr>
          <w:sz w:val="28"/>
          <w:szCs w:val="28"/>
        </w:rPr>
        <w:fldChar w:fldCharType="end"/>
      </w:r>
    </w:p>
    <w:p>
      <w:pPr>
        <w:pStyle w:val="9"/>
        <w:tabs>
          <w:tab w:val="right" w:leader="dot" w:pos="8834"/>
        </w:tabs>
        <w:ind w:firstLine="420" w:firstLineChars="200"/>
        <w:rPr>
          <w:rFonts w:asciiTheme="minorHAnsi" w:hAnsiTheme="minorHAnsi" w:eastAsiaTheme="minorEastAsia" w:cstheme="minorBidi"/>
          <w:sz w:val="28"/>
          <w:szCs w:val="28"/>
        </w:rPr>
      </w:pPr>
      <w:r>
        <w:fldChar w:fldCharType="begin"/>
      </w:r>
      <w:r>
        <w:instrText xml:space="preserve"> HYPERLINK \l "_Toc64143033" </w:instrText>
      </w:r>
      <w:r>
        <w:fldChar w:fldCharType="separate"/>
      </w:r>
      <w:r>
        <w:rPr>
          <w:rStyle w:val="15"/>
          <w:rFonts w:hint="eastAsia" w:cs="仿宋_GB2312" w:asciiTheme="majorEastAsia" w:hAnsiTheme="majorEastAsia" w:eastAsiaTheme="majorEastAsia"/>
          <w:bCs/>
          <w:sz w:val="28"/>
          <w:szCs w:val="28"/>
        </w:rPr>
        <w:t>第二节推动绿色低碳发展</w:t>
      </w:r>
      <w:r>
        <w:rPr>
          <w:sz w:val="28"/>
          <w:szCs w:val="28"/>
        </w:rPr>
        <w:tab/>
      </w:r>
      <w:r>
        <w:rPr>
          <w:sz w:val="28"/>
          <w:szCs w:val="28"/>
        </w:rPr>
        <w:fldChar w:fldCharType="begin"/>
      </w:r>
      <w:r>
        <w:rPr>
          <w:sz w:val="28"/>
          <w:szCs w:val="28"/>
        </w:rPr>
        <w:instrText xml:space="preserve"> PAGEREF _Toc64143033 \h </w:instrText>
      </w:r>
      <w:r>
        <w:rPr>
          <w:sz w:val="28"/>
          <w:szCs w:val="28"/>
        </w:rPr>
        <w:fldChar w:fldCharType="separate"/>
      </w:r>
      <w:r>
        <w:rPr>
          <w:sz w:val="28"/>
          <w:szCs w:val="28"/>
        </w:rPr>
        <w:t>- 94 -</w:t>
      </w:r>
      <w:r>
        <w:rPr>
          <w:sz w:val="28"/>
          <w:szCs w:val="28"/>
        </w:rPr>
        <w:fldChar w:fldCharType="end"/>
      </w:r>
      <w:r>
        <w:rPr>
          <w:sz w:val="28"/>
          <w:szCs w:val="28"/>
        </w:rPr>
        <w:fldChar w:fldCharType="end"/>
      </w:r>
    </w:p>
    <w:p>
      <w:pPr>
        <w:pStyle w:val="9"/>
        <w:tabs>
          <w:tab w:val="right" w:leader="dot" w:pos="8834"/>
        </w:tabs>
        <w:ind w:firstLine="420" w:firstLineChars="200"/>
        <w:rPr>
          <w:rFonts w:asciiTheme="minorHAnsi" w:hAnsiTheme="minorHAnsi" w:eastAsiaTheme="minorEastAsia" w:cstheme="minorBidi"/>
          <w:sz w:val="28"/>
          <w:szCs w:val="28"/>
        </w:rPr>
      </w:pPr>
      <w:r>
        <w:fldChar w:fldCharType="begin"/>
      </w:r>
      <w:r>
        <w:instrText xml:space="preserve"> HYPERLINK \l "_Toc64143034" </w:instrText>
      </w:r>
      <w:r>
        <w:fldChar w:fldCharType="separate"/>
      </w:r>
      <w:r>
        <w:rPr>
          <w:rStyle w:val="15"/>
          <w:rFonts w:hint="eastAsia" w:cs="仿宋_GB2312" w:asciiTheme="majorEastAsia" w:hAnsiTheme="majorEastAsia" w:eastAsiaTheme="majorEastAsia"/>
          <w:bCs/>
          <w:sz w:val="28"/>
          <w:szCs w:val="28"/>
        </w:rPr>
        <w:t>第三节持续改善环境质量</w:t>
      </w:r>
      <w:r>
        <w:rPr>
          <w:sz w:val="28"/>
          <w:szCs w:val="28"/>
        </w:rPr>
        <w:tab/>
      </w:r>
      <w:r>
        <w:rPr>
          <w:sz w:val="28"/>
          <w:szCs w:val="28"/>
        </w:rPr>
        <w:fldChar w:fldCharType="begin"/>
      </w:r>
      <w:r>
        <w:rPr>
          <w:sz w:val="28"/>
          <w:szCs w:val="28"/>
        </w:rPr>
        <w:instrText xml:space="preserve"> PAGEREF _Toc64143034 \h </w:instrText>
      </w:r>
      <w:r>
        <w:rPr>
          <w:sz w:val="28"/>
          <w:szCs w:val="28"/>
        </w:rPr>
        <w:fldChar w:fldCharType="separate"/>
      </w:r>
      <w:r>
        <w:rPr>
          <w:sz w:val="28"/>
          <w:szCs w:val="28"/>
        </w:rPr>
        <w:t>- 96 -</w:t>
      </w:r>
      <w:r>
        <w:rPr>
          <w:sz w:val="28"/>
          <w:szCs w:val="28"/>
        </w:rPr>
        <w:fldChar w:fldCharType="end"/>
      </w:r>
      <w:r>
        <w:rPr>
          <w:sz w:val="28"/>
          <w:szCs w:val="28"/>
        </w:rPr>
        <w:fldChar w:fldCharType="end"/>
      </w:r>
    </w:p>
    <w:p>
      <w:pPr>
        <w:pStyle w:val="9"/>
        <w:tabs>
          <w:tab w:val="right" w:leader="dot" w:pos="8834"/>
        </w:tabs>
        <w:ind w:firstLine="420" w:firstLineChars="200"/>
        <w:rPr>
          <w:rFonts w:asciiTheme="minorHAnsi" w:hAnsiTheme="minorHAnsi" w:eastAsiaTheme="minorEastAsia" w:cstheme="minorBidi"/>
          <w:sz w:val="28"/>
          <w:szCs w:val="28"/>
        </w:rPr>
      </w:pPr>
      <w:r>
        <w:fldChar w:fldCharType="begin"/>
      </w:r>
      <w:r>
        <w:instrText xml:space="preserve"> HYPERLINK \l "_Toc64143035" </w:instrText>
      </w:r>
      <w:r>
        <w:fldChar w:fldCharType="separate"/>
      </w:r>
      <w:r>
        <w:rPr>
          <w:rStyle w:val="15"/>
          <w:rFonts w:hint="eastAsia" w:cs="仿宋_GB2312" w:asciiTheme="majorEastAsia" w:hAnsiTheme="majorEastAsia" w:eastAsiaTheme="majorEastAsia"/>
          <w:bCs/>
          <w:sz w:val="28"/>
          <w:szCs w:val="28"/>
        </w:rPr>
        <w:t>第四节推进生态文明建设制度创新</w:t>
      </w:r>
      <w:r>
        <w:rPr>
          <w:sz w:val="28"/>
          <w:szCs w:val="28"/>
        </w:rPr>
        <w:tab/>
      </w:r>
      <w:r>
        <w:rPr>
          <w:sz w:val="28"/>
          <w:szCs w:val="28"/>
        </w:rPr>
        <w:fldChar w:fldCharType="begin"/>
      </w:r>
      <w:r>
        <w:rPr>
          <w:sz w:val="28"/>
          <w:szCs w:val="28"/>
        </w:rPr>
        <w:instrText xml:space="preserve"> PAGEREF _Toc64143035 \h </w:instrText>
      </w:r>
      <w:r>
        <w:rPr>
          <w:sz w:val="28"/>
          <w:szCs w:val="28"/>
        </w:rPr>
        <w:fldChar w:fldCharType="separate"/>
      </w:r>
      <w:r>
        <w:rPr>
          <w:sz w:val="28"/>
          <w:szCs w:val="28"/>
        </w:rPr>
        <w:t>- 100 -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"_Toc64143036" </w:instrText>
      </w:r>
      <w:r>
        <w:fldChar w:fldCharType="separate"/>
      </w:r>
      <w:r>
        <w:rPr>
          <w:rStyle w:val="15"/>
          <w:rFonts w:hint="eastAsia" w:cs="仿宋_GB2312" w:asciiTheme="majorEastAsia" w:hAnsiTheme="majorEastAsia" w:eastAsiaTheme="majorEastAsia"/>
          <w:bCs/>
          <w:sz w:val="28"/>
          <w:szCs w:val="28"/>
        </w:rPr>
        <w:t>第十章 保障和改善民生，提高城乡居民获得感幸福感</w:t>
      </w:r>
      <w:r>
        <w:rPr>
          <w:sz w:val="28"/>
          <w:szCs w:val="28"/>
        </w:rPr>
        <w:tab/>
      </w:r>
      <w:r>
        <w:rPr>
          <w:sz w:val="28"/>
          <w:szCs w:val="28"/>
        </w:rPr>
        <w:fldChar w:fldCharType="begin"/>
      </w:r>
      <w:r>
        <w:rPr>
          <w:sz w:val="28"/>
          <w:szCs w:val="28"/>
        </w:rPr>
        <w:instrText xml:space="preserve"> PAGEREF _Toc64143036 \h </w:instrText>
      </w:r>
      <w:r>
        <w:rPr>
          <w:sz w:val="28"/>
          <w:szCs w:val="28"/>
        </w:rPr>
        <w:fldChar w:fldCharType="separate"/>
      </w:r>
      <w:r>
        <w:rPr>
          <w:sz w:val="28"/>
          <w:szCs w:val="28"/>
        </w:rPr>
        <w:t>- 102 -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"_Toc64143037" </w:instrText>
      </w:r>
      <w:r>
        <w:fldChar w:fldCharType="separate"/>
      </w:r>
      <w:r>
        <w:rPr>
          <w:rStyle w:val="15"/>
          <w:rFonts w:hint="eastAsia" w:cs="仿宋_GB2312" w:asciiTheme="majorEastAsia" w:hAnsiTheme="majorEastAsia" w:eastAsiaTheme="majorEastAsia"/>
          <w:bCs/>
          <w:sz w:val="28"/>
          <w:szCs w:val="28"/>
        </w:rPr>
        <w:t>第一节提高城乡居民收入水平</w:t>
      </w:r>
      <w:r>
        <w:rPr>
          <w:sz w:val="28"/>
          <w:szCs w:val="28"/>
        </w:rPr>
        <w:tab/>
      </w:r>
      <w:r>
        <w:rPr>
          <w:sz w:val="28"/>
          <w:szCs w:val="28"/>
        </w:rPr>
        <w:fldChar w:fldCharType="begin"/>
      </w:r>
      <w:r>
        <w:rPr>
          <w:sz w:val="28"/>
          <w:szCs w:val="28"/>
        </w:rPr>
        <w:instrText xml:space="preserve"> PAGEREF _Toc64143037 \h </w:instrText>
      </w:r>
      <w:r>
        <w:rPr>
          <w:sz w:val="28"/>
          <w:szCs w:val="28"/>
        </w:rPr>
        <w:fldChar w:fldCharType="separate"/>
      </w:r>
      <w:r>
        <w:rPr>
          <w:sz w:val="28"/>
          <w:szCs w:val="28"/>
        </w:rPr>
        <w:t>- 102 -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"_Toc64143038" </w:instrText>
      </w:r>
      <w:r>
        <w:fldChar w:fldCharType="separate"/>
      </w:r>
      <w:r>
        <w:rPr>
          <w:rStyle w:val="15"/>
          <w:rFonts w:hint="eastAsia" w:cs="仿宋_GB2312" w:asciiTheme="majorEastAsia" w:hAnsiTheme="majorEastAsia" w:eastAsiaTheme="majorEastAsia"/>
          <w:bCs/>
          <w:sz w:val="28"/>
          <w:szCs w:val="28"/>
        </w:rPr>
        <w:t>第二节落实就业优先政策</w:t>
      </w:r>
      <w:r>
        <w:rPr>
          <w:sz w:val="28"/>
          <w:szCs w:val="28"/>
        </w:rPr>
        <w:tab/>
      </w:r>
      <w:r>
        <w:rPr>
          <w:sz w:val="28"/>
          <w:szCs w:val="28"/>
        </w:rPr>
        <w:fldChar w:fldCharType="begin"/>
      </w:r>
      <w:r>
        <w:rPr>
          <w:sz w:val="28"/>
          <w:szCs w:val="28"/>
        </w:rPr>
        <w:instrText xml:space="preserve"> PAGEREF _Toc64143038 \h </w:instrText>
      </w:r>
      <w:r>
        <w:rPr>
          <w:sz w:val="28"/>
          <w:szCs w:val="28"/>
        </w:rPr>
        <w:fldChar w:fldCharType="separate"/>
      </w:r>
      <w:r>
        <w:rPr>
          <w:sz w:val="28"/>
          <w:szCs w:val="28"/>
        </w:rPr>
        <w:t>- 103 -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"_Toc64143039" </w:instrText>
      </w:r>
      <w:r>
        <w:fldChar w:fldCharType="separate"/>
      </w:r>
      <w:r>
        <w:rPr>
          <w:rStyle w:val="15"/>
          <w:rFonts w:hint="eastAsia" w:cs="仿宋_GB2312" w:asciiTheme="majorEastAsia" w:hAnsiTheme="majorEastAsia" w:eastAsiaTheme="majorEastAsia"/>
          <w:bCs/>
          <w:sz w:val="28"/>
          <w:szCs w:val="28"/>
        </w:rPr>
        <w:t>第三节加快推进教育现代化</w:t>
      </w:r>
      <w:r>
        <w:rPr>
          <w:sz w:val="28"/>
          <w:szCs w:val="28"/>
        </w:rPr>
        <w:tab/>
      </w:r>
      <w:r>
        <w:rPr>
          <w:sz w:val="28"/>
          <w:szCs w:val="28"/>
        </w:rPr>
        <w:fldChar w:fldCharType="begin"/>
      </w:r>
      <w:r>
        <w:rPr>
          <w:sz w:val="28"/>
          <w:szCs w:val="28"/>
        </w:rPr>
        <w:instrText xml:space="preserve"> PAGEREF _Toc64143039 \h </w:instrText>
      </w:r>
      <w:r>
        <w:rPr>
          <w:sz w:val="28"/>
          <w:szCs w:val="28"/>
        </w:rPr>
        <w:fldChar w:fldCharType="separate"/>
      </w:r>
      <w:r>
        <w:rPr>
          <w:sz w:val="28"/>
          <w:szCs w:val="28"/>
        </w:rPr>
        <w:t>- 105 -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"_Toc64143040" </w:instrText>
      </w:r>
      <w:r>
        <w:fldChar w:fldCharType="separate"/>
      </w:r>
      <w:r>
        <w:rPr>
          <w:rStyle w:val="15"/>
          <w:rFonts w:hint="eastAsia" w:cs="楷体" w:asciiTheme="majorEastAsia" w:hAnsiTheme="majorEastAsia" w:eastAsiaTheme="majorEastAsia"/>
          <w:bCs/>
          <w:sz w:val="28"/>
          <w:szCs w:val="28"/>
        </w:rPr>
        <w:t>第四节健全多层次社会保障体系</w:t>
      </w:r>
      <w:r>
        <w:rPr>
          <w:sz w:val="28"/>
          <w:szCs w:val="28"/>
        </w:rPr>
        <w:tab/>
      </w:r>
      <w:r>
        <w:rPr>
          <w:sz w:val="28"/>
          <w:szCs w:val="28"/>
        </w:rPr>
        <w:fldChar w:fldCharType="begin"/>
      </w:r>
      <w:r>
        <w:rPr>
          <w:sz w:val="28"/>
          <w:szCs w:val="28"/>
        </w:rPr>
        <w:instrText xml:space="preserve"> PAGEREF _Toc64143040 \h </w:instrText>
      </w:r>
      <w:r>
        <w:rPr>
          <w:sz w:val="28"/>
          <w:szCs w:val="28"/>
        </w:rPr>
        <w:fldChar w:fldCharType="separate"/>
      </w:r>
      <w:r>
        <w:rPr>
          <w:sz w:val="28"/>
          <w:szCs w:val="28"/>
        </w:rPr>
        <w:t>- 109 -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"_Toc64143041" </w:instrText>
      </w:r>
      <w:r>
        <w:fldChar w:fldCharType="separate"/>
      </w:r>
      <w:r>
        <w:rPr>
          <w:rStyle w:val="15"/>
          <w:rFonts w:hint="eastAsia" w:cs="楷体" w:asciiTheme="majorEastAsia" w:hAnsiTheme="majorEastAsia" w:eastAsiaTheme="majorEastAsia"/>
          <w:bCs/>
          <w:sz w:val="28"/>
          <w:szCs w:val="28"/>
        </w:rPr>
        <w:t>第五节推进健康临高建设</w:t>
      </w:r>
      <w:r>
        <w:rPr>
          <w:sz w:val="28"/>
          <w:szCs w:val="28"/>
        </w:rPr>
        <w:tab/>
      </w:r>
      <w:r>
        <w:rPr>
          <w:sz w:val="28"/>
          <w:szCs w:val="28"/>
        </w:rPr>
        <w:fldChar w:fldCharType="begin"/>
      </w:r>
      <w:r>
        <w:rPr>
          <w:sz w:val="28"/>
          <w:szCs w:val="28"/>
        </w:rPr>
        <w:instrText xml:space="preserve"> PAGEREF _Toc64143041 \h </w:instrText>
      </w:r>
      <w:r>
        <w:rPr>
          <w:sz w:val="28"/>
          <w:szCs w:val="28"/>
        </w:rPr>
        <w:fldChar w:fldCharType="separate"/>
      </w:r>
      <w:r>
        <w:rPr>
          <w:sz w:val="28"/>
          <w:szCs w:val="28"/>
        </w:rPr>
        <w:t>- 114 -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"_Toc64143042" </w:instrText>
      </w:r>
      <w:r>
        <w:fldChar w:fldCharType="separate"/>
      </w:r>
      <w:r>
        <w:rPr>
          <w:rStyle w:val="15"/>
          <w:rFonts w:hint="eastAsia" w:cs="仿宋_GB2312" w:asciiTheme="majorEastAsia" w:hAnsiTheme="majorEastAsia" w:eastAsiaTheme="majorEastAsia"/>
          <w:bCs/>
          <w:sz w:val="28"/>
          <w:szCs w:val="28"/>
        </w:rPr>
        <w:t>第十一章 统筹发展和安全，加快建设平安临高和谐临高</w:t>
      </w:r>
      <w:r>
        <w:rPr>
          <w:sz w:val="28"/>
          <w:szCs w:val="28"/>
        </w:rPr>
        <w:tab/>
      </w:r>
      <w:r>
        <w:rPr>
          <w:sz w:val="28"/>
          <w:szCs w:val="28"/>
        </w:rPr>
        <w:fldChar w:fldCharType="begin"/>
      </w:r>
      <w:r>
        <w:rPr>
          <w:sz w:val="28"/>
          <w:szCs w:val="28"/>
        </w:rPr>
        <w:instrText xml:space="preserve"> PAGEREF _Toc64143042 \h </w:instrText>
      </w:r>
      <w:r>
        <w:rPr>
          <w:sz w:val="28"/>
          <w:szCs w:val="28"/>
        </w:rPr>
        <w:fldChar w:fldCharType="separate"/>
      </w:r>
      <w:r>
        <w:rPr>
          <w:sz w:val="28"/>
          <w:szCs w:val="28"/>
        </w:rPr>
        <w:t>- 119 -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"_Toc64143043" </w:instrText>
      </w:r>
      <w:r>
        <w:fldChar w:fldCharType="separate"/>
      </w:r>
      <w:r>
        <w:rPr>
          <w:rStyle w:val="15"/>
          <w:rFonts w:hint="eastAsia" w:cs="楷体" w:asciiTheme="majorEastAsia" w:hAnsiTheme="majorEastAsia" w:eastAsiaTheme="majorEastAsia"/>
          <w:sz w:val="28"/>
          <w:szCs w:val="28"/>
        </w:rPr>
        <w:t>第一节落实自由贸易港法治体系</w:t>
      </w:r>
      <w:r>
        <w:rPr>
          <w:sz w:val="28"/>
          <w:szCs w:val="28"/>
        </w:rPr>
        <w:tab/>
      </w:r>
      <w:r>
        <w:rPr>
          <w:sz w:val="28"/>
          <w:szCs w:val="28"/>
        </w:rPr>
        <w:fldChar w:fldCharType="begin"/>
      </w:r>
      <w:r>
        <w:rPr>
          <w:sz w:val="28"/>
          <w:szCs w:val="28"/>
        </w:rPr>
        <w:instrText xml:space="preserve"> PAGEREF _Toc64143043 \h </w:instrText>
      </w:r>
      <w:r>
        <w:rPr>
          <w:sz w:val="28"/>
          <w:szCs w:val="28"/>
        </w:rPr>
        <w:fldChar w:fldCharType="separate"/>
      </w:r>
      <w:r>
        <w:rPr>
          <w:sz w:val="28"/>
          <w:szCs w:val="28"/>
        </w:rPr>
        <w:t>- 119 -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"_Toc64143044" </w:instrText>
      </w:r>
      <w:r>
        <w:fldChar w:fldCharType="separate"/>
      </w:r>
      <w:r>
        <w:rPr>
          <w:rStyle w:val="15"/>
          <w:rFonts w:hint="eastAsia" w:cs="楷体" w:asciiTheme="majorEastAsia" w:hAnsiTheme="majorEastAsia" w:eastAsiaTheme="majorEastAsia"/>
          <w:sz w:val="28"/>
          <w:szCs w:val="28"/>
        </w:rPr>
        <w:t>第二节持续推进平安临高建设</w:t>
      </w:r>
      <w:r>
        <w:rPr>
          <w:sz w:val="28"/>
          <w:szCs w:val="28"/>
        </w:rPr>
        <w:tab/>
      </w:r>
      <w:r>
        <w:rPr>
          <w:sz w:val="28"/>
          <w:szCs w:val="28"/>
        </w:rPr>
        <w:fldChar w:fldCharType="begin"/>
      </w:r>
      <w:r>
        <w:rPr>
          <w:sz w:val="28"/>
          <w:szCs w:val="28"/>
        </w:rPr>
        <w:instrText xml:space="preserve"> PAGEREF _Toc64143044 \h </w:instrText>
      </w:r>
      <w:r>
        <w:rPr>
          <w:sz w:val="28"/>
          <w:szCs w:val="28"/>
        </w:rPr>
        <w:fldChar w:fldCharType="separate"/>
      </w:r>
      <w:r>
        <w:rPr>
          <w:sz w:val="28"/>
          <w:szCs w:val="28"/>
        </w:rPr>
        <w:t>- 121 -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"_Toc64143045" </w:instrText>
      </w:r>
      <w:r>
        <w:fldChar w:fldCharType="separate"/>
      </w:r>
      <w:r>
        <w:rPr>
          <w:rStyle w:val="15"/>
          <w:rFonts w:hint="eastAsia" w:cs="楷体" w:asciiTheme="majorEastAsia" w:hAnsiTheme="majorEastAsia" w:eastAsiaTheme="majorEastAsia"/>
          <w:sz w:val="28"/>
          <w:szCs w:val="28"/>
        </w:rPr>
        <w:t>第三节不断完善社会治理体系</w:t>
      </w:r>
      <w:r>
        <w:rPr>
          <w:sz w:val="28"/>
          <w:szCs w:val="28"/>
        </w:rPr>
        <w:tab/>
      </w:r>
      <w:r>
        <w:rPr>
          <w:sz w:val="28"/>
          <w:szCs w:val="28"/>
        </w:rPr>
        <w:fldChar w:fldCharType="begin"/>
      </w:r>
      <w:r>
        <w:rPr>
          <w:sz w:val="28"/>
          <w:szCs w:val="28"/>
        </w:rPr>
        <w:instrText xml:space="preserve"> PAGEREF _Toc64143045 \h </w:instrText>
      </w:r>
      <w:r>
        <w:rPr>
          <w:sz w:val="28"/>
          <w:szCs w:val="28"/>
        </w:rPr>
        <w:fldChar w:fldCharType="separate"/>
      </w:r>
      <w:r>
        <w:rPr>
          <w:sz w:val="28"/>
          <w:szCs w:val="28"/>
        </w:rPr>
        <w:t>- 123 -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"_Toc64143046" </w:instrText>
      </w:r>
      <w:r>
        <w:fldChar w:fldCharType="separate"/>
      </w:r>
      <w:r>
        <w:rPr>
          <w:rStyle w:val="15"/>
          <w:rFonts w:hint="eastAsia" w:cs="楷体" w:asciiTheme="majorEastAsia" w:hAnsiTheme="majorEastAsia" w:eastAsiaTheme="majorEastAsia"/>
          <w:sz w:val="28"/>
          <w:szCs w:val="28"/>
        </w:rPr>
        <w:t>第四节防范化解重大风险</w:t>
      </w:r>
      <w:r>
        <w:rPr>
          <w:sz w:val="28"/>
          <w:szCs w:val="28"/>
        </w:rPr>
        <w:tab/>
      </w:r>
      <w:r>
        <w:rPr>
          <w:sz w:val="28"/>
          <w:szCs w:val="28"/>
        </w:rPr>
        <w:fldChar w:fldCharType="begin"/>
      </w:r>
      <w:r>
        <w:rPr>
          <w:sz w:val="28"/>
          <w:szCs w:val="28"/>
        </w:rPr>
        <w:instrText xml:space="preserve"> PAGEREF _Toc64143046 \h </w:instrText>
      </w:r>
      <w:r>
        <w:rPr>
          <w:sz w:val="28"/>
          <w:szCs w:val="28"/>
        </w:rPr>
        <w:fldChar w:fldCharType="separate"/>
      </w:r>
      <w:r>
        <w:rPr>
          <w:sz w:val="28"/>
          <w:szCs w:val="28"/>
        </w:rPr>
        <w:t>- 125 -</w:t>
      </w:r>
      <w:r>
        <w:rPr>
          <w:sz w:val="28"/>
          <w:szCs w:val="28"/>
        </w:rPr>
        <w:fldChar w:fldCharType="end"/>
      </w:r>
      <w:r>
        <w:rPr>
          <w:sz w:val="28"/>
          <w:szCs w:val="28"/>
        </w:rPr>
        <w:fldChar w:fldCharType="end"/>
      </w:r>
    </w:p>
    <w:p>
      <w:pPr>
        <w:pStyle w:val="9"/>
        <w:tabs>
          <w:tab w:val="right" w:leader="dot" w:pos="8834"/>
        </w:tabs>
        <w:rPr>
          <w:rFonts w:asciiTheme="minorHAnsi" w:hAnsiTheme="minorHAnsi" w:eastAsiaTheme="minorEastAsia" w:cstheme="minorBidi"/>
          <w:sz w:val="28"/>
          <w:szCs w:val="28"/>
        </w:rPr>
      </w:pPr>
      <w:r>
        <w:fldChar w:fldCharType="begin"/>
      </w:r>
      <w:r>
        <w:instrText xml:space="preserve"> HYPERLINK \l "_Toc64143047" </w:instrText>
      </w:r>
      <w:r>
        <w:fldChar w:fldCharType="separate"/>
      </w:r>
      <w:r>
        <w:rPr>
          <w:rStyle w:val="15"/>
          <w:rFonts w:hint="eastAsia" w:asciiTheme="majorEastAsia" w:hAnsiTheme="majorEastAsia" w:eastAsiaTheme="majorEastAsia"/>
          <w:sz w:val="28"/>
          <w:szCs w:val="28"/>
        </w:rPr>
        <w:t>第十二章 加强规划实施保障，努力实现宏伟蓝图</w:t>
      </w:r>
      <w:r>
        <w:rPr>
          <w:sz w:val="28"/>
          <w:szCs w:val="28"/>
        </w:rPr>
        <w:tab/>
      </w:r>
      <w:r>
        <w:rPr>
          <w:sz w:val="28"/>
          <w:szCs w:val="28"/>
        </w:rPr>
        <w:fldChar w:fldCharType="begin"/>
      </w:r>
      <w:r>
        <w:rPr>
          <w:sz w:val="28"/>
          <w:szCs w:val="28"/>
        </w:rPr>
        <w:instrText xml:space="preserve"> PAGEREF _Toc64143047 \h </w:instrText>
      </w:r>
      <w:r>
        <w:rPr>
          <w:sz w:val="28"/>
          <w:szCs w:val="28"/>
        </w:rPr>
        <w:fldChar w:fldCharType="separate"/>
      </w:r>
      <w:r>
        <w:rPr>
          <w:sz w:val="28"/>
          <w:szCs w:val="28"/>
        </w:rPr>
        <w:t>- 127 -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"_Toc64143048" </w:instrText>
      </w:r>
      <w:r>
        <w:fldChar w:fldCharType="separate"/>
      </w:r>
      <w:r>
        <w:rPr>
          <w:rStyle w:val="15"/>
          <w:rFonts w:hint="eastAsia" w:cs="楷体" w:asciiTheme="majorEastAsia" w:hAnsiTheme="majorEastAsia" w:eastAsiaTheme="majorEastAsia"/>
          <w:sz w:val="28"/>
          <w:szCs w:val="28"/>
        </w:rPr>
        <w:t>第一</w:t>
      </w:r>
      <w:r>
        <w:rPr>
          <w:rStyle w:val="15"/>
          <w:rFonts w:hint="eastAsia" w:cs="楷体_GB2312" w:asciiTheme="majorEastAsia" w:hAnsiTheme="majorEastAsia" w:eastAsiaTheme="majorEastAsia"/>
          <w:sz w:val="28"/>
          <w:szCs w:val="28"/>
        </w:rPr>
        <w:t>节全面加强党的领导</w:t>
      </w:r>
      <w:r>
        <w:rPr>
          <w:sz w:val="28"/>
          <w:szCs w:val="28"/>
        </w:rPr>
        <w:tab/>
      </w:r>
      <w:r>
        <w:rPr>
          <w:sz w:val="28"/>
          <w:szCs w:val="28"/>
        </w:rPr>
        <w:fldChar w:fldCharType="begin"/>
      </w:r>
      <w:r>
        <w:rPr>
          <w:sz w:val="28"/>
          <w:szCs w:val="28"/>
        </w:rPr>
        <w:instrText xml:space="preserve"> PAGEREF _Toc64143048 \h </w:instrText>
      </w:r>
      <w:r>
        <w:rPr>
          <w:sz w:val="28"/>
          <w:szCs w:val="28"/>
        </w:rPr>
        <w:fldChar w:fldCharType="separate"/>
      </w:r>
      <w:r>
        <w:rPr>
          <w:sz w:val="28"/>
          <w:szCs w:val="28"/>
        </w:rPr>
        <w:t>- 128 -</w:t>
      </w:r>
      <w:r>
        <w:rPr>
          <w:sz w:val="28"/>
          <w:szCs w:val="28"/>
        </w:rPr>
        <w:fldChar w:fldCharType="end"/>
      </w:r>
      <w:r>
        <w:rPr>
          <w:sz w:val="28"/>
          <w:szCs w:val="28"/>
        </w:rPr>
        <w:fldChar w:fldCharType="end"/>
      </w:r>
    </w:p>
    <w:p>
      <w:pPr>
        <w:pStyle w:val="10"/>
        <w:tabs>
          <w:tab w:val="right" w:leader="dot" w:pos="8834"/>
        </w:tabs>
        <w:rPr>
          <w:rFonts w:asciiTheme="minorHAnsi" w:hAnsiTheme="minorHAnsi" w:eastAsiaTheme="minorEastAsia" w:cstheme="minorBidi"/>
          <w:sz w:val="28"/>
          <w:szCs w:val="28"/>
        </w:rPr>
      </w:pPr>
      <w:r>
        <w:fldChar w:fldCharType="begin"/>
      </w:r>
      <w:r>
        <w:instrText xml:space="preserve"> HYPERLINK \l "_Toc64143049" </w:instrText>
      </w:r>
      <w:r>
        <w:fldChar w:fldCharType="separate"/>
      </w:r>
      <w:r>
        <w:rPr>
          <w:rStyle w:val="15"/>
          <w:rFonts w:hint="eastAsia" w:cs="楷体" w:asciiTheme="majorEastAsia" w:hAnsiTheme="majorEastAsia" w:eastAsiaTheme="majorEastAsia"/>
          <w:sz w:val="28"/>
          <w:szCs w:val="28"/>
        </w:rPr>
        <w:t>第二节健全规划实施机制</w:t>
      </w:r>
      <w:r>
        <w:rPr>
          <w:sz w:val="28"/>
          <w:szCs w:val="28"/>
        </w:rPr>
        <w:tab/>
      </w:r>
      <w:r>
        <w:rPr>
          <w:sz w:val="28"/>
          <w:szCs w:val="28"/>
        </w:rPr>
        <w:fldChar w:fldCharType="begin"/>
      </w:r>
      <w:r>
        <w:rPr>
          <w:sz w:val="28"/>
          <w:szCs w:val="28"/>
        </w:rPr>
        <w:instrText xml:space="preserve"> PAGEREF _Toc64143049 \h </w:instrText>
      </w:r>
      <w:r>
        <w:rPr>
          <w:sz w:val="28"/>
          <w:szCs w:val="28"/>
        </w:rPr>
        <w:fldChar w:fldCharType="separate"/>
      </w:r>
      <w:r>
        <w:rPr>
          <w:sz w:val="28"/>
          <w:szCs w:val="28"/>
        </w:rPr>
        <w:t>- 131 -</w:t>
      </w:r>
      <w:r>
        <w:rPr>
          <w:sz w:val="28"/>
          <w:szCs w:val="28"/>
        </w:rPr>
        <w:fldChar w:fldCharType="end"/>
      </w:r>
      <w:r>
        <w:rPr>
          <w:sz w:val="28"/>
          <w:szCs w:val="28"/>
        </w:rPr>
        <w:fldChar w:fldCharType="end"/>
      </w:r>
    </w:p>
    <w:p>
      <w:pPr>
        <w:spacing w:line="240" w:lineRule="atLeast"/>
        <w:rPr>
          <w:rFonts w:ascii="仿宋_GB2312" w:hAnsi="仿宋_GB2312" w:eastAsia="仿宋_GB2312" w:cs="仿宋_GB2312"/>
          <w:sz w:val="32"/>
          <w:szCs w:val="32"/>
        </w:rPr>
        <w:sectPr>
          <w:footerReference r:id="rId10" w:type="first"/>
          <w:footerReference r:id="rId9" w:type="default"/>
          <w:pgSz w:w="11906" w:h="16838"/>
          <w:pgMar w:top="1985" w:right="1531" w:bottom="1814" w:left="1531" w:header="851" w:footer="1247" w:gutter="0"/>
          <w:pgNumType w:start="1"/>
          <w:cols w:space="720" w:num="1"/>
          <w:docGrid w:type="lines" w:linePitch="312" w:charSpace="0"/>
        </w:sectPr>
      </w:pPr>
      <w:r>
        <w:rPr>
          <w:rFonts w:hint="eastAsia" w:ascii="仿宋_GB2312" w:hAnsi="仿宋_GB2312" w:eastAsia="仿宋_GB2312" w:cs="仿宋_GB2312"/>
          <w:sz w:val="28"/>
          <w:szCs w:val="28"/>
        </w:rPr>
        <w:fldChar w:fldCharType="end"/>
      </w:r>
    </w:p>
    <w:p>
      <w:pPr>
        <w:rPr>
          <w:rFonts w:ascii="仿宋_GB2312" w:hAnsi="仿宋"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 w:eastAsia="仿宋_GB2312" w:cs="仿宋_GB2312"/>
          <w:sz w:val="32"/>
          <w:szCs w:val="32"/>
        </w:rPr>
        <w:t>临高县国民经济和社会发展第十四个五年规划和二</w:t>
      </w:r>
      <w:r>
        <w:rPr>
          <w:rFonts w:hint="eastAsia" w:ascii="仿宋_GB2312" w:hAnsi="仿宋" w:eastAsia="仿宋" w:cs="仿宋_GB2312"/>
          <w:sz w:val="32"/>
          <w:szCs w:val="32"/>
        </w:rPr>
        <w:t>〇</w:t>
      </w:r>
      <w:r>
        <w:rPr>
          <w:rFonts w:hint="eastAsia" w:ascii="仿宋_GB2312" w:hAnsi="仿宋" w:eastAsia="仿宋_GB2312" w:cs="仿宋_GB2312"/>
          <w:sz w:val="32"/>
          <w:szCs w:val="32"/>
        </w:rPr>
        <w:t>三五年远景目标纲要，根据《中共临高县委关于制定临高县国民经济和社会发展第十四个五年规划和二</w:t>
      </w:r>
      <w:r>
        <w:rPr>
          <w:rFonts w:hint="eastAsia" w:ascii="仿宋_GB2312" w:hAnsi="仿宋" w:eastAsia="仿宋" w:cs="仿宋_GB2312"/>
          <w:sz w:val="32"/>
          <w:szCs w:val="32"/>
        </w:rPr>
        <w:t>〇</w:t>
      </w:r>
      <w:r>
        <w:rPr>
          <w:rFonts w:hint="eastAsia" w:ascii="仿宋_GB2312" w:hAnsi="仿宋" w:eastAsia="仿宋_GB2312" w:cs="仿宋_GB2312"/>
          <w:sz w:val="32"/>
          <w:szCs w:val="32"/>
        </w:rPr>
        <w:t>三五年远景目标的建议》编制，是推动《海南自由贸易港建设总体方案》及省委、省政府决策部署在临高落地实施的总体安排和战略举措，是“十四五”时期（2021-2025年）我县经济社会发展的宏伟蓝图，是全县人民共同奋斗的行动纲领，是政府履行职责的重要依据，是各类市场主体的行为导向。</w:t>
      </w:r>
    </w:p>
    <w:p>
      <w:pPr>
        <w:pStyle w:val="2"/>
        <w:ind w:firstLine="640" w:firstLineChars="200"/>
        <w:rPr>
          <w:rFonts w:ascii="黑体" w:hAnsi="黑体" w:eastAsia="黑体" w:cs="黑体"/>
          <w:b w:val="0"/>
          <w:bCs/>
          <w:sz w:val="32"/>
          <w:szCs w:val="32"/>
        </w:rPr>
      </w:pPr>
      <w:bookmarkStart w:id="0" w:name="_Toc64142990"/>
      <w:bookmarkStart w:id="1" w:name="_Toc27686_WPSOffice_Level1"/>
      <w:bookmarkStart w:id="2" w:name="_Toc13829_WPSOffice_Level1"/>
      <w:bookmarkStart w:id="3" w:name="_Toc2032"/>
      <w:bookmarkStart w:id="4" w:name="_Toc24089_WPSOffice_Level1"/>
      <w:r>
        <w:rPr>
          <w:rFonts w:hint="eastAsia" w:ascii="黑体" w:hAnsi="黑体" w:eastAsia="黑体" w:cs="黑体"/>
          <w:b w:val="0"/>
          <w:bCs/>
          <w:sz w:val="32"/>
          <w:szCs w:val="32"/>
        </w:rPr>
        <w:t>第一章 以自贸港建设为引领，进入高质量发展新阶段</w:t>
      </w:r>
      <w:bookmarkEnd w:id="0"/>
      <w:bookmarkEnd w:id="1"/>
      <w:bookmarkEnd w:id="2"/>
      <w:bookmarkEnd w:id="3"/>
      <w:bookmarkEnd w:id="4"/>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四五”时期是我国全面建成小康社会、实现第一个百年奋斗目标之后，乘势而上开启全面建设社会主义现代化国家新征程、向第二个百年奋斗目标进军的第一个五年，也是全面推进海南自由贸易港建设的第一个五年规划期，更是临高发奋图强、奋起直追、乘势而上、努力迈向高质量发展新阶段的战略机遇期。必须服从和服务于国家发展战略和全省发展大局的需要，找准临高在自贸港建设和国内国际双循环发展大格局中的历史方位和前进方向，抓住机遇、解放思想、大胆创新、凝心聚力、奋力拼搏，努力实现超常规、跨越式、可持续、高质量发展，为海南自由贸易港建设做出更加突出的贡献。</w:t>
      </w:r>
    </w:p>
    <w:p>
      <w:pPr>
        <w:pStyle w:val="3"/>
        <w:spacing w:line="240" w:lineRule="auto"/>
        <w:jc w:val="center"/>
        <w:rPr>
          <w:rFonts w:ascii="楷体_GB2312" w:eastAsia="楷体_GB2312" w:cs="仿宋" w:hAnsiTheme="majorEastAsia"/>
          <w:bCs/>
          <w:szCs w:val="32"/>
        </w:rPr>
      </w:pPr>
      <w:bookmarkStart w:id="5" w:name="_Toc636"/>
      <w:bookmarkStart w:id="6" w:name="_Toc64142991"/>
      <w:r>
        <w:rPr>
          <w:rFonts w:hint="eastAsia" w:ascii="楷体_GB2312" w:eastAsia="楷体_GB2312" w:cs="仿宋" w:hAnsiTheme="majorEastAsia"/>
          <w:bCs/>
          <w:szCs w:val="32"/>
        </w:rPr>
        <w:t xml:space="preserve">第一节 </w:t>
      </w:r>
      <w:bookmarkEnd w:id="5"/>
      <w:r>
        <w:rPr>
          <w:rFonts w:hint="eastAsia" w:ascii="楷体_GB2312" w:eastAsia="楷体_GB2312" w:cs="仿宋" w:hAnsiTheme="majorEastAsia"/>
          <w:bCs/>
          <w:szCs w:val="32"/>
        </w:rPr>
        <w:t>发展基础</w:t>
      </w:r>
      <w:bookmarkEnd w:id="6"/>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五”时期是全面建成小康社会决胜阶段。面对错综复杂的国际形势和艰巨繁重的改革发展稳定任务特别是新冠肺炎疫情严重冲击，在以习近平同志为核心的党中央的坚强领导下，在省委的正确领导下，全县上下深入贯彻落实习近平总书记关于海南工作的系列重要讲话和重要批示指示精神、《中共中央国务院关于支持海南全面深化改革开放的指导意见》和《海南自由贸易港建设总体方案》有关精神，全面贯彻落实省委七届历次全会精神，围绕全面建成小康社会这个历史重任，抢抓海南自由贸易港建设这个千载难逢的历史机遇，牢记为民宗旨、强化使命担当，以“一天当三天用”的干劲和“干一件成一件”的韧劲，以超常规的认识、举措、行动和实效，全力应对“三个大考”，答好“三张答卷”，落实“六稳”“六保”，统筹常态化疫情防控和经济社会发展，基本完成“十三五”规划确定的主要目标和任务，全面建成小康社会取得决定性成就。</w:t>
      </w:r>
    </w:p>
    <w:p>
      <w:pPr>
        <w:ind w:firstLine="642" w:firstLineChars="200"/>
        <w:rPr>
          <w:rFonts w:ascii="仿宋" w:hAnsi="仿宋" w:eastAsia="仿宋" w:cs="仿宋"/>
          <w:sz w:val="32"/>
          <w:szCs w:val="32"/>
        </w:rPr>
      </w:pPr>
      <w:r>
        <w:rPr>
          <w:rFonts w:hint="eastAsia" w:ascii="仿宋_GB2312" w:hAnsi="楷体" w:eastAsia="仿宋_GB2312" w:cs="楷体"/>
          <w:b/>
          <w:sz w:val="32"/>
          <w:szCs w:val="32"/>
        </w:rPr>
        <w:t>高质量实现脱贫摘帽。</w:t>
      </w:r>
      <w:r>
        <w:rPr>
          <w:rFonts w:hint="eastAsia" w:ascii="仿宋_GB2312" w:hAnsi="仿宋" w:eastAsia="仿宋_GB2312" w:cs="仿宋"/>
          <w:sz w:val="32"/>
          <w:szCs w:val="32"/>
        </w:rPr>
        <w:t>举全县之力狠抓脱贫攻坚，23个贫困村全部脱贫出列，累计脱贫10583户48775人，贫困发生率由14.27%降至零，贫困县高质量脱贫摘帽。农村贫困人口收入快速增长，全县农民人均可支配收入达到15204元，增长56.6%，年均增长9.4%，连续3年获得省级脱贫攻坚成效考核优秀等次。先后派出92名干部到村担任第一书记，496名干部组成乡村振兴工作队覆盖全县所有镇村。贫困地区生产生活条件明显改善，村村通道路、自然村内道路硬化、安全饮水、电网改造、通信网络等问题基本得以解决。贫困群众民生福祉大幅度提升，实施危房改造9941户，实现从幼儿园到大学教育全资助，住院报销比例达90%以上，“两不愁三保障”和饮水安全问题全部解决。</w:t>
      </w:r>
    </w:p>
    <w:p>
      <w:pPr>
        <w:ind w:firstLine="642" w:firstLineChars="200"/>
        <w:rPr>
          <w:rFonts w:ascii="仿宋_GB2312" w:hAnsi="仿宋" w:eastAsia="仿宋_GB2312" w:cs="仿宋_GB2312"/>
          <w:sz w:val="32"/>
          <w:szCs w:val="32"/>
        </w:rPr>
      </w:pPr>
      <w:r>
        <w:rPr>
          <w:rFonts w:hint="eastAsia" w:ascii="仿宋_GB2312" w:hAnsi="楷体" w:eastAsia="仿宋_GB2312" w:cs="楷体"/>
          <w:b/>
          <w:sz w:val="32"/>
          <w:szCs w:val="32"/>
        </w:rPr>
        <w:t>经济发展质量不断提升。</w:t>
      </w:r>
      <w:r>
        <w:rPr>
          <w:rFonts w:hint="eastAsia" w:ascii="仿宋_GB2312" w:hAnsi="仿宋" w:eastAsia="仿宋_GB2312" w:cs="楷体"/>
          <w:sz w:val="32"/>
          <w:szCs w:val="32"/>
        </w:rPr>
        <w:t>经济实力进一步增强，</w:t>
      </w:r>
      <w:r>
        <w:rPr>
          <w:rFonts w:hint="eastAsia" w:ascii="仿宋_GB2312" w:hAnsi="仿宋" w:eastAsia="仿宋_GB2312" w:cs="仿宋_GB2312"/>
          <w:sz w:val="32"/>
          <w:szCs w:val="32"/>
        </w:rPr>
        <w:t>全县地区生产总值突破二百亿大关，达到204.22亿元，增长41.2%，按可比价计算年均增长3.9%；人均地区生产总值44974元，增长34.7%，年均增长3.0%。地方一般公共预算收入4.72亿元，增长4%，按同口径计算年均增长5.2%；社会消费品零售总额39.50亿元，增长26.6%，年均增长4.8%；新增市场主体3872个，增长264.9%；累计完成固定资产投资214亿元。供给侧结构性改革成效显著，三次产业结构由70.3:6.3:23.4调整为61.8：5.8：32.4，产业结构进一步优化，以冬季瓜菜、热带水果、花卉苗木产业为代表的热带特色高效农业发展迅速，海洋捕捞、深水网箱养殖位居全省前列，旅游业保持良好的发展态势，电子商务、物流配送、移动支付、网络传媒、线上娱乐等服务业新模式、新业态蓬勃发展，服务业增加值年均增长8.4%，对经济增长的贡献超过50%，已成为推动经济增长的主要因素。投资结构不断优化，年度房地产开发投资占全社会固定资产投资的比重已由高峰期的77%降至33%，有效减少了对房地产的依赖。</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城乡区域协调发展能力显著增强。</w:t>
      </w:r>
      <w:r>
        <w:rPr>
          <w:rFonts w:hint="eastAsia" w:ascii="仿宋_GB2312" w:hAnsi="仿宋" w:eastAsia="仿宋_GB2312" w:cs="仿宋_GB2312"/>
          <w:sz w:val="32"/>
          <w:szCs w:val="32"/>
        </w:rPr>
        <w:t>县城新型城镇化建设步伐加快，旧城区一、二期改造工程竣工，市政大道二期、锦绣大道、临昌路改扩建、碧海大道基本建成通车，恒大御海天下、碧桂园金沙滩、长岛蓝湾、汇泽蓝海湾、富力悦海湾等项目形成规模、发挥效益。乡村振兴战略稳步实施，“美丽海南百镇千村”建设取得积极进展，多文、皇桐、美台镇墟完成改造升级，建成86个美丽乡村、10个椰级乡村旅游点。城乡一体化路网建设取得重大进展，福马大道、滨海旅游观光公路（东英段）建成，农村公路六大工程基本建成，基本建成连接城乡四通八达的交通网络。水利条件持续改进，完成41宗水利工程，实施农村安全饮水项目143宗，有效改善全县灌溉面积16万亩，恢复灌溉面积2.3万亩。信息化建设成效显著，实现城乡光纤宽带和4G网络全覆盖。</w:t>
      </w:r>
    </w:p>
    <w:p>
      <w:pPr>
        <w:ind w:firstLine="642" w:firstLineChars="200"/>
        <w:rPr>
          <w:rFonts w:ascii="仿宋_GB2312" w:hAnsi="仿宋" w:eastAsia="仿宋_GB2312" w:cs="仿宋_GB2312"/>
          <w:sz w:val="32"/>
          <w:szCs w:val="32"/>
        </w:rPr>
      </w:pPr>
      <w:r>
        <w:rPr>
          <w:rFonts w:hint="eastAsia" w:ascii="仿宋_GB2312" w:hAnsi="楷体" w:eastAsia="仿宋_GB2312" w:cs="宋体"/>
          <w:b/>
          <w:bCs/>
          <w:sz w:val="32"/>
          <w:szCs w:val="32"/>
        </w:rPr>
        <w:t>生态文明建设成效明显。</w:t>
      </w:r>
      <w:r>
        <w:rPr>
          <w:rFonts w:hint="eastAsia" w:ascii="仿宋_GB2312" w:hAnsi="仿宋" w:eastAsia="仿宋_GB2312" w:cs="仿宋_GB2312"/>
          <w:bCs/>
          <w:sz w:val="32"/>
          <w:szCs w:val="32"/>
        </w:rPr>
        <w:t>严守生态保护红线、环境质量底线和资源利用上线，统筹谋划山水林田湖草海生态保护修复与合理利用，启动国际湿地城市、国家森林城市建设</w:t>
      </w:r>
      <w:r>
        <w:rPr>
          <w:rFonts w:hint="eastAsia" w:ascii="仿宋_GB2312" w:hAnsi="仿宋" w:eastAsia="仿宋_GB2312" w:cs="仿宋"/>
          <w:bCs/>
          <w:sz w:val="32"/>
          <w:szCs w:val="32"/>
        </w:rPr>
        <w:t>。持续推进生态环境“六大专项”整治、农村人居环境整治、海岸带专项整治，探索推进“城乡环卫一体化”建设，中央环保督察、国家海洋督察、省生态环境百日大督察反馈问题整改成效明显。</w:t>
      </w:r>
      <w:r>
        <w:rPr>
          <w:rFonts w:hint="eastAsia" w:ascii="仿宋_GB2312" w:hAnsi="仿宋" w:eastAsia="仿宋_GB2312" w:cs="仿宋_GB2312"/>
          <w:sz w:val="32"/>
          <w:szCs w:val="32"/>
        </w:rPr>
        <w:t>重拳整治违法建筑，处置违建项目607宗面积14.19万平方米，违建专项治理成效显著。实施全域绿化和园林景观提升工程，体育公园、三友公园、龙波湾森林公园相继建成，高铁临高南站、金龙大道、金澜大道、临美路和疏港大道“十里花廊”绿化改造工程建成完工。建立县、镇、村三级管护机制，对全县95条河流、90个湖泊全面推行河（湖）长制。加强水环境综合治理，查处非法采砂点100多处，启动文澜江临城河段截污并网工程，采用EPC+O模式全面开工11个建制镇和121个自然村污水处理项目，建成51个自然村生活污水处理设施，完成农村“厕所革命”新建户厕任务。建成文明生态村250个，文明生态村覆盖率达89.74%。生态环境质量进一步提升，环境空气质量优良天数达98%以上，地表水水质优良率达100%，森林覆盖率达45.19%，节能降耗和主要污染物排放控制在省下达的指标内。</w:t>
      </w:r>
    </w:p>
    <w:p>
      <w:pPr>
        <w:ind w:firstLine="642" w:firstLineChars="200"/>
        <w:rPr>
          <w:rFonts w:ascii="仿宋_GB2312" w:hAnsi="仿宋" w:eastAsia="仿宋_GB2312" w:cs="仿宋_GB2312"/>
          <w:sz w:val="32"/>
          <w:szCs w:val="32"/>
        </w:rPr>
      </w:pPr>
      <w:bookmarkStart w:id="7" w:name="_Toc4346_WPSOffice_Level2"/>
      <w:r>
        <w:rPr>
          <w:rFonts w:hint="eastAsia" w:ascii="仿宋_GB2312" w:hAnsi="楷体" w:eastAsia="仿宋_GB2312" w:cs="宋体"/>
          <w:b/>
          <w:bCs/>
          <w:sz w:val="32"/>
          <w:szCs w:val="32"/>
        </w:rPr>
        <w:t>人民生活</w:t>
      </w:r>
      <w:bookmarkEnd w:id="7"/>
      <w:r>
        <w:rPr>
          <w:rFonts w:hint="eastAsia" w:ascii="仿宋_GB2312" w:hAnsi="楷体" w:eastAsia="仿宋_GB2312" w:cs="宋体"/>
          <w:b/>
          <w:bCs/>
          <w:sz w:val="32"/>
          <w:szCs w:val="32"/>
        </w:rPr>
        <w:t>持续改善。</w:t>
      </w:r>
      <w:r>
        <w:rPr>
          <w:rFonts w:hint="eastAsia" w:ascii="仿宋_GB2312" w:hAnsi="仿宋" w:eastAsia="仿宋_GB2312" w:cs="仿宋"/>
          <w:bCs/>
          <w:sz w:val="32"/>
          <w:szCs w:val="32"/>
        </w:rPr>
        <w:t>坚持小财政办大民生的理念，县级财政对社会民生投入每年保持在总支出的80%以上。</w:t>
      </w:r>
      <w:r>
        <w:rPr>
          <w:rFonts w:hint="eastAsia" w:ascii="仿宋_GB2312" w:hAnsi="仿宋" w:eastAsia="仿宋_GB2312" w:cs="仿宋_GB2312"/>
          <w:sz w:val="32"/>
          <w:szCs w:val="32"/>
        </w:rPr>
        <w:t>城镇居民人均可支配收入31888元，增长43.2%，年均增长7.5%。基本建成全民参保的社会保障体系，累计增加城镇就业2.02万人、农村劳动力转移就业2.05万人。建成西南大学临高实验中学、澜江学校、博文学校等一批优质学校，创建临高中学省一级甲等学校，建成13所公办幼儿园，学前教育“两个比例”达到省要求。推进县人民医院内科住院大楼、县中医院康复楼建设，完成18个基层卫生院标准化建设，建成180个村卫生室，实现全覆盖，群众看病就医更方便。建成体育公园、文化艺术中心等重大公共文化体育项目，新建成45个行政村文化室，临高广船造船技艺、八音盅盘舞成功申报为省级非物质文化遗产，荣获“中国曲艺之乡”称号。社会文明大行动全面推进，精神文明建设不断加强，“双创”工作取得显著成效，荣获“海南省卫生县城”称号。坚持“房住不炒”的定位，大力建设保障性住房，房地产市场保持平稳健康发展。扫黑除恶战果不断扩大，累计打掉16个涉黑涉恶团伙，新一轮禁毒三年大会战深入推进，成功摘掉“全国毒品问题重点关注地区”帽子，八类刑事案件连续三年保持年均40%的下降率，街面“两抢”犯罪由2015年以前的月均30起下降至月均2起，有效打击治理新型电信网络诈骗犯罪，社会治安明显好转。扎实开展新冠肺炎疫情防控，落实“四早”等措施，最大限度地保障了人民群众的生命安全，及时复工复产复市复学，恢复正常的生产生活秩序。“平安临高”建设成效显著，广大人民群众安居乐业，获得感、幸福感、安全感不断提升。</w:t>
      </w:r>
    </w:p>
    <w:p>
      <w:pPr>
        <w:ind w:firstLine="642" w:firstLineChars="200"/>
        <w:rPr>
          <w:rFonts w:ascii="仿宋_GB2312" w:hAnsi="仿宋" w:eastAsia="仿宋_GB2312" w:cs="仿宋"/>
          <w:sz w:val="32"/>
          <w:szCs w:val="32"/>
        </w:rPr>
      </w:pPr>
      <w:bookmarkStart w:id="8" w:name="_Toc6406_WPSOffice_Level2"/>
      <w:r>
        <w:rPr>
          <w:rFonts w:hint="eastAsia" w:ascii="仿宋_GB2312" w:hAnsi="楷体" w:eastAsia="仿宋_GB2312" w:cs="宋体"/>
          <w:b/>
          <w:bCs/>
          <w:sz w:val="32"/>
          <w:szCs w:val="32"/>
        </w:rPr>
        <w:t>重点领域改革稳步推进</w:t>
      </w:r>
      <w:bookmarkEnd w:id="8"/>
      <w:r>
        <w:rPr>
          <w:rFonts w:hint="eastAsia" w:ascii="仿宋_GB2312" w:hAnsi="楷体" w:eastAsia="仿宋_GB2312" w:cs="宋体"/>
          <w:b/>
          <w:bCs/>
          <w:sz w:val="32"/>
          <w:szCs w:val="32"/>
        </w:rPr>
        <w:t>。</w:t>
      </w:r>
      <w:r>
        <w:rPr>
          <w:rFonts w:hint="eastAsia" w:ascii="仿宋_GB2312" w:hAnsi="仿宋" w:eastAsia="仿宋_GB2312" w:cs="宋体"/>
          <w:bCs/>
          <w:sz w:val="32"/>
          <w:szCs w:val="32"/>
        </w:rPr>
        <w:t>全县6项制度创新成果被省项目库采用，金牌港开发区纳入洋浦经济开发区统一管理并成为自贸港早期政策实施的重点园区，精心谋划自贸港建设重大工程项目，新的高水平开放发展态势和格局正在逐步形成。“多规合一”改革取得新成果，完成《临高县总体规划（空间类2015-2030）》编制。农村农垦改革取得重大进展，红华农场改革基本完成，加来农场“撤场并镇”改革迈出实质性步伐，农村集体产权制度和“三块地”改革扎实推进，农村土地承包经营权确权登记完成95%以上。事业单位改革稳步推进，机构改革成效明显，完成党政机构、乡镇机构、综合行政执法机构改革，实现了“一支队伍管执法”。“放管服”改革不断深化，“一窗受理”、“一枚印章管审批”的审批模式全面推行，新的商事登记“全省通办”制度基本建立，企业开办时间由7个工作日压缩至2个工作日内。财税金融、国资国企、司法等关键领域和重点环节改革加快推进。</w:t>
      </w:r>
    </w:p>
    <w:p>
      <w:pPr>
        <w:ind w:firstLine="642" w:firstLineChars="200"/>
        <w:rPr>
          <w:rFonts w:ascii="仿宋_GB2312" w:hAnsi="仿宋" w:eastAsia="仿宋_GB2312" w:cs="仿宋"/>
          <w:sz w:val="32"/>
          <w:szCs w:val="32"/>
        </w:rPr>
      </w:pPr>
      <w:r>
        <w:rPr>
          <w:rFonts w:hint="eastAsia" w:ascii="仿宋_GB2312" w:hAnsi="楷体" w:eastAsia="仿宋_GB2312" w:cs="楷体"/>
          <w:b/>
          <w:sz w:val="32"/>
          <w:szCs w:val="32"/>
        </w:rPr>
        <w:t>党的领导全面加强。</w:t>
      </w:r>
      <w:r>
        <w:rPr>
          <w:rFonts w:hint="eastAsia" w:ascii="仿宋_GB2312" w:hAnsi="仿宋" w:eastAsia="仿宋_GB2312" w:cs="仿宋_GB2312"/>
          <w:sz w:val="32"/>
          <w:szCs w:val="32"/>
        </w:rPr>
        <w:t>扎实开展“不忘初心、牢记使命”主题教育和“我为加快推进海南自由贸易港建设作贡献”活动。坚持三级书记抓党建，深入推进“六星党支部”创建，重拳整顿软弱涣散基层党组织。开展排查解决发展党员违规违纪问题试点工作，着力从源头上保持党员队伍的先进性和纯洁性。落实“百万人才进海南”行动计划，引进各类人才1766人。加强干部队伍建设，探索建立《临高县落实高质量发展红黄绿亮牌管控机制（试行）》，激发干部担当作为。加快构建大统战工作格局，广泛凝心聚力。深化纪检监察体制改革，狠抓巡视反馈问题整改，推动巡察全覆盖，一体推进不敢腐、不能腐、不想腐，反腐败斗争取得压倒性胜利。</w:t>
      </w:r>
    </w:p>
    <w:p>
      <w:pPr>
        <w:ind w:firstLine="648"/>
        <w:rPr>
          <w:rFonts w:ascii="仿宋_GB2312" w:hAnsi="仿宋" w:eastAsia="仿宋_GB2312"/>
          <w:sz w:val="32"/>
          <w:szCs w:val="32"/>
        </w:rPr>
      </w:pPr>
      <w:r>
        <w:rPr>
          <w:rFonts w:hint="eastAsia" w:ascii="仿宋_GB2312" w:hAnsi="仿宋" w:eastAsia="仿宋_GB2312"/>
          <w:sz w:val="32"/>
          <w:szCs w:val="32"/>
        </w:rPr>
        <w:t>由于长期历史原因，在我国已经进入工业化中后期时，临高仍是农业比重高达60%以上的农业社会，产业基础极其薄弱，抗风险能力差，过去五年出现了经济增长乏力、增长速度下滑的突出问题，但总体上看“十三五”时期仍是高质量发展的五年。这一时期，全县上下不负使命，顽强拼搏，奋发图强，一举摘掉国家级贫困县帽子，显著改变了农村贫困面貌；统筹区域协调发展，城乡建设迈上新台阶，经济发展承载力显著提升；生态建设和环境保护取得明显成效，临高北部滨海滨江优质土地和自然岸线资源总体上得到了有效保护；坚持“人民为中心”，社会民生明显改善，人民群众得到了最多的实惠。更为重要的是，这五年党的建设和从严治党全面加强，反腐倡廉持续取得压倒性胜利，干部素质和党风政风明显好转，“四个意识”、“四个自信”、“两个维护”更加深入全县党员干部和广大人民群众心田，为“十三五”高质量发展提供了坚强的政治保障。五年发展实践，成就来之不易，经验弥足珍贵，特别是脱贫摘帽攻坚战的胜利已经成为临高一笔宝贵的精神财富，必将激励全县人民在自贸港建设新征途中攻坚克难、再创辉煌，这些都为临高“十四五”发展奠定了更加坚实的基础。</w:t>
      </w:r>
    </w:p>
    <w:p>
      <w:pPr>
        <w:pStyle w:val="3"/>
        <w:jc w:val="center"/>
        <w:rPr>
          <w:rFonts w:ascii="楷体_GB2312" w:eastAsia="楷体_GB2312" w:cs="宋体" w:hAnsiTheme="majorEastAsia"/>
          <w:bCs/>
          <w:szCs w:val="32"/>
        </w:rPr>
      </w:pPr>
      <w:bookmarkStart w:id="9" w:name="_Toc4048"/>
      <w:bookmarkStart w:id="10" w:name="_Toc64142992"/>
      <w:r>
        <w:rPr>
          <w:rFonts w:hint="eastAsia" w:ascii="楷体_GB2312" w:eastAsia="楷体_GB2312" w:cs="宋体" w:hAnsiTheme="majorEastAsia"/>
          <w:bCs/>
          <w:szCs w:val="32"/>
        </w:rPr>
        <w:t xml:space="preserve">第二节 </w:t>
      </w:r>
      <w:bookmarkEnd w:id="9"/>
      <w:r>
        <w:rPr>
          <w:rFonts w:hint="eastAsia" w:ascii="楷体_GB2312" w:eastAsia="楷体_GB2312" w:cs="宋体" w:hAnsiTheme="majorEastAsia"/>
          <w:bCs/>
          <w:szCs w:val="32"/>
        </w:rPr>
        <w:t>发展形势</w:t>
      </w:r>
      <w:bookmarkEnd w:id="10"/>
    </w:p>
    <w:p>
      <w:pPr>
        <w:ind w:firstLine="640" w:firstLineChars="200"/>
        <w:rPr>
          <w:rFonts w:ascii="仿宋_GB2312" w:hAnsi="仿宋" w:eastAsia="仿宋_GB2312"/>
          <w:sz w:val="32"/>
          <w:szCs w:val="32"/>
        </w:rPr>
      </w:pPr>
      <w:r>
        <w:rPr>
          <w:rFonts w:hint="eastAsia" w:ascii="仿宋_GB2312" w:hAnsi="仿宋" w:eastAsia="仿宋_GB2312"/>
          <w:sz w:val="32"/>
          <w:szCs w:val="32"/>
        </w:rPr>
        <w:t>“十四五”时期是临高加快发展的重要战略机遇期，具有诸多有利条件和重大历史性机遇，但也面临空前严峻的挑战和压力。</w:t>
      </w:r>
    </w:p>
    <w:p>
      <w:pPr>
        <w:ind w:firstLine="640" w:firstLineChars="200"/>
        <w:rPr>
          <w:rFonts w:ascii="仿宋_GB2312" w:hAnsi="仿宋" w:eastAsia="仿宋_GB2312"/>
          <w:sz w:val="32"/>
          <w:szCs w:val="32"/>
        </w:rPr>
      </w:pPr>
      <w:r>
        <w:rPr>
          <w:rFonts w:hint="eastAsia" w:ascii="仿宋_GB2312" w:hAnsi="仿宋" w:eastAsia="仿宋_GB2312"/>
          <w:sz w:val="32"/>
          <w:szCs w:val="32"/>
        </w:rPr>
        <w:t>从国外看，当今世界正经历百年未有之大变局，新一轮科技革命和产业变革深入发展，国际力量对比深刻调整，和平与发展仍然是时代主题，人类命运共同体理念深入人心，这为临高发挥后发优势，加快产业能级和技术迭代跃迁，直接与数字经济接轨，实现“变道超车”提供了重大机遇。从国内看，我国已转向高质量发展阶段，制度优势显著，治理效能提升，物质基础雄厚，人力资源丰富，市场空间广阔，社会大局稳定，无论国际局势如何动荡，发展韧性强劲、经济长期向好的基本趋势不会改变，这从根本上为临高保持稳定健康发展提供了良好的宏观环境。此外，随着我国社会主要矛盾变化，着力解决发展不平衡不充分问题日益迫切，临高作为刚刚脱贫的国家级贫困县，在支持落后地区发展、补短板工程等多个方面仍能获得相对较多的国家政策倾斜。从省内看，在海南全岛建设中国特色自由贸易港，是党中央着眼于国内国际两个大局做出的伟大战略决策，也使临高具有了建设世界最高水平开放形态经济体的战略优势，为临高立足自身优势，积极融入国内国际双循环，更好地发挥畅通双循环重要节点作用提供了历史性机遇。从自身条件看，作为连接“海口-澄迈”和“洋浦-儋州”两大经济中心的门户，临高后发优势明显，具有环境资源、地缘区位、滨海滨江和金牌港海港、儋州机场空港等多方面的优势和条件，在自贸港建设大背景下具有巨大的发展潜力和广阔的发展空间。</w:t>
      </w:r>
    </w:p>
    <w:p>
      <w:pPr>
        <w:ind w:firstLine="640" w:firstLineChars="200"/>
        <w:rPr>
          <w:rFonts w:ascii="仿宋_GB2312" w:hAnsi="仿宋" w:eastAsia="仿宋_GB2312"/>
          <w:sz w:val="32"/>
          <w:szCs w:val="32"/>
        </w:rPr>
      </w:pPr>
      <w:r>
        <w:rPr>
          <w:rFonts w:hint="eastAsia" w:ascii="仿宋_GB2312" w:hAnsi="仿宋" w:eastAsia="仿宋_GB2312"/>
          <w:sz w:val="32"/>
          <w:szCs w:val="32"/>
        </w:rPr>
        <w:t>但是，我们也要清醒地看到，“十四五”时期临高发展将面临空前的压力和挑战。从国际环境来看，国际局势日趋复杂，新冠肺炎疫情影响广泛深远，经济全球化遭遇逆流，世界进入动荡变革期，我们将面临一个更加不稳定、不确定性的外部环境。从国内、省内形势来看，我国改革开放和科技创新步伐明显加快，双循环发展新格局加快形成，国内区域、省内市县之间经济竞争日趋激烈，我们将面临竞争日益加剧的国内、省内发展形势。从自身发展来看，我县经济社会发展总体比较滞后，与全国经济发展水平相比存在代际差距，不仅面临许多瓶颈制约，还面临不进则退甚至进一步边缘化的现实压力：经济总量小，农业比重大，二三产业发展不充分，产业结构极不合理，经济发展亟待转型升级；人才缺乏，科技含量低，创新动力不足，经济增长乏力，创新发展动能亟待提升；财政困难，债务压力大，刚性支出有增无减，自主发展能力比较弱，内生发展动力亟待提升；基础设施不完善，生态环境保护任重道远，可持续发展能力需要进一步夯实；公共服务体系不完善，人民群众收入水平较低，民生保障短板亟待补齐；营商环境不优，农业社会长期形成的思维惯性、工作方式、管理模式亟待转变，治理体系和治理能力现代化步伐急需加快。总之，在产业基础十分薄弱的基础上建设自贸港，既是实现赶超的重大历史机遇，也是巨大的压力和挑战，我们必须付出更加艰苦卓绝的努力。</w:t>
      </w:r>
    </w:p>
    <w:p>
      <w:pPr>
        <w:ind w:firstLine="640" w:firstLineChars="200"/>
        <w:rPr>
          <w:rFonts w:ascii="仿宋_GB2312" w:hAnsi="仿宋" w:eastAsia="仿宋_GB2312"/>
          <w:sz w:val="32"/>
          <w:szCs w:val="32"/>
        </w:rPr>
      </w:pPr>
      <w:r>
        <w:rPr>
          <w:rFonts w:hint="eastAsia" w:ascii="仿宋_GB2312" w:hAnsi="仿宋" w:eastAsia="仿宋_GB2312"/>
          <w:sz w:val="32"/>
          <w:szCs w:val="32"/>
        </w:rPr>
        <w:t>综合研判，“十四五”时期，我县将在全面建成小康社会的基础上，进入建设自由贸易港的新阶段。这一阶段是聚焦制度集成创新、营造一流营商环境、全力推进自贸港建设的关键时期，也是我县抓住机遇，努力实现超常规、跨越式、可持续、高质量发展的紧要关头。面对新机遇和新挑战，我们必须增强机遇意识、风险意识，勇于担当，敢于斗争，坚持底线思维，保持战略定力，准确把握基本县情阶段性特征，着力提高准确识变、科学应变、主动求变和转危为机的本领，善于在危机中育先机、于变局中开新局，抓住海南自由贸易港建设重大机遇，以钉钉子的精神，攻坚克难、久久为功，加快培育增长新动能，全面塑造发展新优势，努力实现超常规、跨越式、可持续、高质量发展。</w:t>
      </w:r>
    </w:p>
    <w:p>
      <w:pPr>
        <w:pStyle w:val="3"/>
        <w:spacing w:line="240" w:lineRule="auto"/>
        <w:jc w:val="center"/>
        <w:rPr>
          <w:rFonts w:ascii="楷体_GB2312" w:eastAsia="楷体_GB2312" w:cs="仿宋_GB2312" w:hAnsiTheme="majorEastAsia"/>
          <w:szCs w:val="32"/>
        </w:rPr>
      </w:pPr>
      <w:bookmarkStart w:id="11" w:name="_Toc64142993"/>
      <w:r>
        <w:rPr>
          <w:rFonts w:hint="eastAsia" w:ascii="楷体_GB2312" w:eastAsia="楷体_GB2312" w:cs="仿宋_GB2312" w:hAnsiTheme="majorEastAsia"/>
          <w:szCs w:val="32"/>
        </w:rPr>
        <w:t>第三节  指导思想</w:t>
      </w:r>
      <w:bookmarkEnd w:id="11"/>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“十四五”时期临高经济社会发展的指导思想是：</w:t>
      </w:r>
    </w:p>
    <w:p>
      <w:pPr>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五位一体”总体布局，协调推进“四个全面”战略布局，坚持稳中求进工作总基调，立足新发展阶段，贯彻新发展理念，融入新发展格局，以推动高质量发展为主题，以深化供给侧结构性改革为主线，以改革创新为根本动力，以满足人民日益增长的美好生活需要为根本目的，强化制度集成创新，统筹发展和安全，坚持系统观念，深度落实“全省一盘棋、全岛同城化”，服从服务海南自贸港建设大局，围绕“两港、两业、两旅、慢城”，加快推进“三区一园”建设，大力培育新产业新业态，推动城乡区域协调发展和乡村全面振兴，着力提升县域产业能级和核心竞争力，在全面建设自贸港伟大实践中实现临高超常规、跨越式、可持续、高质量发展，努力为海南自由贸易港建设作出更大贡献。</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贯彻以上指导思想，必须遵循以下原则：</w:t>
      </w:r>
    </w:p>
    <w:p>
      <w:pPr>
        <w:ind w:firstLine="642" w:firstLineChars="200"/>
        <w:rPr>
          <w:rFonts w:ascii="仿宋_GB2312" w:hAnsi="楷体" w:eastAsia="仿宋_GB2312" w:cs="楷体"/>
          <w:sz w:val="32"/>
          <w:szCs w:val="32"/>
        </w:rPr>
      </w:pPr>
      <w:r>
        <w:rPr>
          <w:rFonts w:hint="eastAsia" w:ascii="仿宋_GB2312" w:hAnsi="楷体" w:eastAsia="仿宋_GB2312" w:cs="楷体"/>
          <w:b/>
          <w:sz w:val="32"/>
          <w:szCs w:val="32"/>
        </w:rPr>
        <w:t>——坚持党的全面领导。</w:t>
      </w:r>
      <w:r>
        <w:rPr>
          <w:rFonts w:hint="eastAsia" w:ascii="仿宋_GB2312" w:hAnsi="仿宋" w:eastAsia="仿宋_GB2312" w:cs="楷体"/>
          <w:sz w:val="32"/>
          <w:szCs w:val="32"/>
        </w:rPr>
        <w:t>坚持中国特色社会主义道路，坚持和完善党领导经济社会发展的体制机制，充分调动各方积极性，不断提高贯彻新发展理念、融入新发展格局、建设自由贸易港的能力和水平，为实现高质量发展提供根本保证。</w:t>
      </w:r>
    </w:p>
    <w:p>
      <w:pPr>
        <w:ind w:firstLine="642" w:firstLineChars="200"/>
        <w:rPr>
          <w:rFonts w:ascii="仿宋_GB2312" w:hAnsi="楷体" w:eastAsia="仿宋_GB2312" w:cs="楷体"/>
          <w:sz w:val="32"/>
          <w:szCs w:val="32"/>
        </w:rPr>
      </w:pPr>
      <w:r>
        <w:rPr>
          <w:rFonts w:hint="eastAsia" w:ascii="仿宋_GB2312" w:hAnsi="楷体" w:eastAsia="仿宋_GB2312" w:cs="楷体"/>
          <w:b/>
          <w:sz w:val="32"/>
          <w:szCs w:val="32"/>
        </w:rPr>
        <w:t>——坚持以人民为中心。</w:t>
      </w:r>
      <w:r>
        <w:rPr>
          <w:rFonts w:hint="eastAsia" w:ascii="仿宋_GB2312" w:hAnsi="仿宋" w:eastAsia="仿宋_GB2312" w:cs="楷体"/>
          <w:sz w:val="32"/>
          <w:szCs w:val="32"/>
        </w:rPr>
        <w:t>坚持人民主体地位，始终做到发展为了人民、发展依靠人民、发展成果由人民共享，维护人民根本利益，不断实现人民对美好生活的向往。</w:t>
      </w:r>
    </w:p>
    <w:p>
      <w:pPr>
        <w:ind w:firstLine="642" w:firstLineChars="200"/>
        <w:rPr>
          <w:rFonts w:ascii="仿宋_GB2312" w:hAnsi="楷体" w:eastAsia="仿宋_GB2312" w:cs="楷体"/>
          <w:sz w:val="32"/>
          <w:szCs w:val="32"/>
        </w:rPr>
      </w:pPr>
      <w:r>
        <w:rPr>
          <w:rFonts w:hint="eastAsia" w:ascii="仿宋_GB2312" w:hAnsi="楷体" w:eastAsia="仿宋_GB2312" w:cs="楷体"/>
          <w:b/>
          <w:sz w:val="32"/>
          <w:szCs w:val="32"/>
        </w:rPr>
        <w:t>——坚持新发展理念。</w:t>
      </w:r>
      <w:r>
        <w:rPr>
          <w:rFonts w:hint="eastAsia" w:ascii="仿宋_GB2312" w:hAnsi="仿宋" w:eastAsia="仿宋_GB2312" w:cs="楷体"/>
          <w:sz w:val="32"/>
          <w:szCs w:val="32"/>
        </w:rPr>
        <w:t>把新发展理念贯穿发展全过程和各领域，深入实施创新驱动战略，切实转变发展方式，实现更高质量、更有效率、更加公平、更可持续、更为安全的发展。</w:t>
      </w:r>
    </w:p>
    <w:p>
      <w:pPr>
        <w:ind w:firstLine="642" w:firstLineChars="200"/>
        <w:rPr>
          <w:rFonts w:ascii="仿宋_GB2312" w:hAnsi="楷体" w:eastAsia="仿宋_GB2312" w:cs="楷体"/>
          <w:sz w:val="32"/>
          <w:szCs w:val="32"/>
        </w:rPr>
      </w:pPr>
      <w:r>
        <w:rPr>
          <w:rFonts w:hint="eastAsia" w:ascii="仿宋_GB2312" w:hAnsi="楷体" w:eastAsia="仿宋_GB2312" w:cs="楷体"/>
          <w:b/>
          <w:sz w:val="32"/>
          <w:szCs w:val="32"/>
        </w:rPr>
        <w:t>——坚持深化改革开放。</w:t>
      </w:r>
      <w:r>
        <w:rPr>
          <w:rFonts w:hint="eastAsia" w:ascii="仿宋_GB2312" w:hAnsi="仿宋" w:eastAsia="仿宋_GB2312" w:cs="楷体"/>
          <w:sz w:val="32"/>
          <w:szCs w:val="32"/>
        </w:rPr>
        <w:t>坚持把制度集成创新摆在突出位置，坚定不移推进改革、扩大开放，加强治理体系和治理能力现代化建设，打造一流营商环境，破除制约高质量发展的体制机制障碍，持续增强发展动力和活力。</w:t>
      </w:r>
    </w:p>
    <w:p>
      <w:pPr>
        <w:ind w:firstLine="642" w:firstLineChars="200"/>
        <w:rPr>
          <w:rFonts w:ascii="仿宋_GB2312" w:hAnsi="仿宋" w:eastAsia="仿宋_GB2312" w:cs="仿宋"/>
          <w:sz w:val="32"/>
          <w:szCs w:val="32"/>
        </w:rPr>
      </w:pPr>
      <w:r>
        <w:rPr>
          <w:rFonts w:hint="eastAsia" w:ascii="仿宋_GB2312" w:hAnsi="楷体" w:eastAsia="仿宋_GB2312" w:cs="楷体"/>
          <w:b/>
          <w:sz w:val="32"/>
          <w:szCs w:val="32"/>
        </w:rPr>
        <w:t>——坚持系统观念。</w:t>
      </w:r>
      <w:r>
        <w:rPr>
          <w:rFonts w:hint="eastAsia" w:ascii="仿宋_GB2312" w:hAnsi="仿宋" w:eastAsia="仿宋_GB2312" w:cs="楷体"/>
          <w:sz w:val="32"/>
          <w:szCs w:val="32"/>
        </w:rPr>
        <w:t>坚持“全省一盘棋、全岛同城化”，加强统筹谋划、协调推进，着力固根基、扬优势、补短板、强弱项，注重防范化解重大风险挑战，实现发展质量、结构、规模、速度、效益、安全相统一。</w:t>
      </w:r>
    </w:p>
    <w:p>
      <w:pPr>
        <w:pStyle w:val="3"/>
        <w:spacing w:line="240" w:lineRule="auto"/>
        <w:jc w:val="center"/>
        <w:rPr>
          <w:rFonts w:ascii="楷体_GB2312" w:eastAsia="楷体_GB2312" w:cs="仿宋" w:hAnsiTheme="majorEastAsia"/>
          <w:szCs w:val="32"/>
        </w:rPr>
      </w:pPr>
      <w:bookmarkStart w:id="12" w:name="_Toc64142994"/>
      <w:r>
        <w:rPr>
          <w:rFonts w:hint="eastAsia" w:ascii="楷体_GB2312" w:eastAsia="楷体_GB2312" w:cs="仿宋" w:hAnsiTheme="majorEastAsia"/>
          <w:szCs w:val="32"/>
        </w:rPr>
        <w:t>第四节  发展定位</w:t>
      </w:r>
      <w:bookmarkEnd w:id="12"/>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立足于充分发挥临高独特资源优势和自贸港政策优势，将临高发展实际与国家和全省发展战略需要紧密结合，深度落实“全省一盘棋、全岛同城化”，围绕“两港、两业、两旅、慢城”发展重点，构建“园区+业态+链条”新布局，在继续做大做强热带高效农业和海洋渔业的同时，大力培育新型建筑、现代海洋、现代航空、数字智能、临港（空）物流、绿色循环、农旅文旅、高端设计等新产业、新业态，探索新模式、创造新动能、拓展新空间，加快建设“三区一园”美丽幸福新临高。</w:t>
      </w:r>
    </w:p>
    <w:p>
      <w:pPr>
        <w:ind w:firstLine="642" w:firstLineChars="200"/>
        <w:rPr>
          <w:rFonts w:ascii="仿宋_GB2312" w:hAnsi="仿宋" w:eastAsia="仿宋_GB2312" w:cs="仿宋"/>
          <w:bCs/>
          <w:sz w:val="32"/>
          <w:szCs w:val="32"/>
        </w:rPr>
      </w:pPr>
      <w:r>
        <w:rPr>
          <w:rFonts w:hint="eastAsia" w:ascii="仿宋_GB2312" w:hAnsi="楷体" w:eastAsia="仿宋_GB2312" w:cs="楷体"/>
          <w:b/>
          <w:bCs/>
          <w:sz w:val="32"/>
          <w:szCs w:val="32"/>
        </w:rPr>
        <w:t>——新型建筑产业集聚区。</w:t>
      </w:r>
      <w:r>
        <w:rPr>
          <w:rFonts w:hint="eastAsia" w:ascii="仿宋_GB2312" w:hAnsi="仿宋" w:eastAsia="仿宋_GB2312" w:cs="楷体"/>
          <w:bCs/>
          <w:sz w:val="32"/>
          <w:szCs w:val="32"/>
        </w:rPr>
        <w:t>依托金牌港海港优势，加快完善金牌港开发区基础设施，大力引进装配式建筑、建筑设计、建筑展示、建筑回收等新型建筑产业项目，在全县范围内布局新型建筑产业及其关联业态，着力打造以金牌港开发区为核心，集研发、设计、生产、展示全产业链新型建筑产业集聚区。结合城市更新、项目建设、乡村振兴，</w:t>
      </w:r>
      <w:r>
        <w:rPr>
          <w:rFonts w:hint="eastAsia" w:ascii="仿宋_GB2312" w:hAnsi="仿宋_GB2312" w:eastAsia="仿宋_GB2312" w:cs="仿宋_GB2312"/>
          <w:sz w:val="32"/>
          <w:szCs w:val="32"/>
        </w:rPr>
        <w:t>大力</w:t>
      </w:r>
      <w:r>
        <w:rPr>
          <w:rFonts w:hint="eastAsia" w:ascii="仿宋_GB2312" w:hAnsi="仿宋" w:eastAsia="仿宋_GB2312" w:cs="楷体"/>
          <w:bCs/>
          <w:sz w:val="32"/>
          <w:szCs w:val="32"/>
        </w:rPr>
        <w:t>推广使用装配式建筑，推动“新型建筑+展示+民宿+旅游”等多业态融合发展，带动会展、餐饮、购物等产业发展。以新型建筑产业为龙头，推动固体废弃物减量化、无害化和资源化循环利用，大力发展循环经济，做大做强绿色生态环保产业。</w:t>
      </w:r>
    </w:p>
    <w:p>
      <w:pPr>
        <w:ind w:firstLine="642" w:firstLineChars="200"/>
        <w:rPr>
          <w:rFonts w:ascii="仿宋_GB2312" w:hAnsi="仿宋" w:eastAsia="仿宋_GB2312" w:cs="仿宋"/>
          <w:bCs/>
          <w:sz w:val="32"/>
          <w:szCs w:val="32"/>
        </w:rPr>
      </w:pPr>
      <w:r>
        <w:rPr>
          <w:rFonts w:hint="eastAsia" w:ascii="仿宋_GB2312" w:hAnsi="楷体" w:eastAsia="仿宋_GB2312" w:cs="仿宋"/>
          <w:b/>
          <w:bCs/>
          <w:sz w:val="32"/>
          <w:szCs w:val="32"/>
        </w:rPr>
        <w:t>——现代热带特色农渔产业示范区。</w:t>
      </w:r>
      <w:r>
        <w:rPr>
          <w:rFonts w:hint="eastAsia" w:ascii="仿宋_GB2312" w:hAnsi="仿宋" w:eastAsia="仿宋_GB2312" w:cs="仿宋"/>
          <w:bCs/>
          <w:sz w:val="32"/>
          <w:szCs w:val="32"/>
        </w:rPr>
        <w:t>发挥农林牧渔综合性农区优势，突出抓好热带高效农业和海洋渔业两大产业，认真做好“规模化、标准化、品牌化”和“转型发展”两篇文章，充分发挥龙头企业引领带动作用，大力推进规模化、标准化、品牌化农林牧渔产业基地建设，加强种苗繁育、科技创新、加工物流、市场渠道等骨干项目建设，建设海港渔业休闲带，推动“两个产业”向产业链、供应链、价值链高端转型升级，加快构建现代热带农业和现代海洋渔业产业体系，着力将临高打造成为海南的“菜篮子”“米袋子”“果盘子”，成为农民增收的“钱袋子”。</w:t>
      </w:r>
    </w:p>
    <w:p>
      <w:pPr>
        <w:ind w:firstLine="642" w:firstLineChars="200"/>
        <w:rPr>
          <w:rFonts w:ascii="仿宋_GB2312" w:hAnsi="仿宋" w:eastAsia="仿宋_GB2312" w:cs="楷体"/>
          <w:bCs/>
          <w:sz w:val="32"/>
          <w:szCs w:val="32"/>
        </w:rPr>
      </w:pPr>
      <w:r>
        <w:rPr>
          <w:rFonts w:hint="eastAsia" w:ascii="仿宋_GB2312" w:hAnsi="楷体" w:eastAsia="仿宋_GB2312" w:cs="楷体"/>
          <w:b/>
          <w:bCs/>
          <w:sz w:val="32"/>
          <w:szCs w:val="32"/>
        </w:rPr>
        <w:t>——滨海国际慢城休闲体验区。</w:t>
      </w:r>
      <w:r>
        <w:rPr>
          <w:rFonts w:hint="eastAsia" w:ascii="仿宋_GB2312" w:hAnsi="仿宋" w:eastAsia="仿宋_GB2312" w:cs="楷体"/>
          <w:bCs/>
          <w:sz w:val="32"/>
          <w:szCs w:val="32"/>
        </w:rPr>
        <w:t>立足区位资源禀赋，充分挖掘丰富的生态环境、海岸线和地域特色文化资源，做好“农旅”“文旅”融合文章，依托东英镇14公里原生态海岸线珍稀资源环境优势，加快建设以绿色产业和高端设计为核心的“国际慢城”和“国际设计海岸”，带动升级版美丽乡村、美丽渔村建设，推动海南解放公园建设全国“红色旅游经典景区”，改造提升临高“古八景”，擦亮“文澜夜市”“哩哩美夜市”和“两街十一市”品牌，大力发展滨海民宿、慢生活、慢运动、慢旅游等业态，着力打造滨海国际慢城休闲体验区，与新型建筑产业集聚区形成优势互补、功能互动、深度融合的发展格局。</w:t>
      </w:r>
    </w:p>
    <w:p>
      <w:pPr>
        <w:ind w:firstLine="642" w:firstLineChars="200"/>
        <w:rPr>
          <w:rFonts w:ascii="仿宋_GB2312" w:hAnsi="仿宋" w:eastAsia="仿宋_GB2312" w:cs="楷体"/>
          <w:bCs/>
          <w:sz w:val="32"/>
          <w:szCs w:val="32"/>
        </w:rPr>
      </w:pPr>
      <w:r>
        <w:rPr>
          <w:rFonts w:hint="eastAsia" w:ascii="仿宋_GB2312" w:hAnsi="楷体" w:eastAsia="仿宋_GB2312" w:cs="仿宋"/>
          <w:b/>
          <w:bCs/>
          <w:sz w:val="32"/>
          <w:szCs w:val="32"/>
        </w:rPr>
        <w:t>——现代航空科技产业园。</w:t>
      </w:r>
      <w:r>
        <w:rPr>
          <w:rFonts w:hint="eastAsia" w:ascii="仿宋_GB2312" w:hAnsi="仿宋" w:eastAsia="仿宋_GB2312" w:cs="仿宋"/>
          <w:bCs/>
          <w:sz w:val="32"/>
          <w:szCs w:val="32"/>
        </w:rPr>
        <w:t>落实好全省空港战略布局，提高加来城市规划建设标准，大力推进市政设施、生活服务、产业配套和对外交通路网建设，全力支持儋州机场建设。依托海南西部空港和国家航空产业基地优势，规划建设现代航空科技产业园，谋划发展航空配套协作、飞机零部件制造再制造、通用航空飞机研发制造、航空产业软件系统研发、高价值进口料件分装加工再制造、临空物流、国际航空运输中转服务等产业，推进港产城深度融合和一体化发展，努力将加来建成现代航空科技产业新城，着力打造临高南部新的经济增长极。</w:t>
      </w:r>
    </w:p>
    <w:p>
      <w:pPr>
        <w:pStyle w:val="3"/>
        <w:spacing w:line="240" w:lineRule="auto"/>
        <w:jc w:val="center"/>
        <w:rPr>
          <w:rFonts w:ascii="楷体_GB2312" w:eastAsia="楷体_GB2312" w:cs="仿宋" w:hAnsiTheme="majorEastAsia"/>
          <w:bCs/>
          <w:szCs w:val="32"/>
        </w:rPr>
      </w:pPr>
      <w:bookmarkStart w:id="13" w:name="_Toc64142995"/>
      <w:r>
        <w:rPr>
          <w:rFonts w:hint="eastAsia" w:ascii="楷体_GB2312" w:eastAsia="楷体_GB2312" w:cs="仿宋" w:hAnsiTheme="majorEastAsia"/>
          <w:bCs/>
          <w:szCs w:val="32"/>
        </w:rPr>
        <w:t>第五节 主要目标</w:t>
      </w:r>
      <w:bookmarkEnd w:id="13"/>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“十四五”时期我县经济社会发展的主要目标是：</w:t>
      </w:r>
    </w:p>
    <w:p>
      <w:pPr>
        <w:ind w:firstLine="642" w:firstLineChars="200"/>
        <w:rPr>
          <w:rFonts w:ascii="仿宋_GB2312" w:hAnsi="仿宋" w:eastAsia="仿宋_GB2312" w:cs="仿宋_GB2312"/>
          <w:sz w:val="32"/>
          <w:szCs w:val="32"/>
        </w:rPr>
      </w:pPr>
      <w:r>
        <w:rPr>
          <w:rFonts w:hint="eastAsia" w:ascii="仿宋_GB2312" w:hAnsi="楷体" w:eastAsia="仿宋_GB2312" w:cs="楷体"/>
          <w:b/>
          <w:sz w:val="32"/>
          <w:szCs w:val="32"/>
        </w:rPr>
        <w:t>——经济发展质量不断提升。</w:t>
      </w:r>
      <w:r>
        <w:rPr>
          <w:rFonts w:hint="eastAsia" w:ascii="仿宋_GB2312" w:hAnsi="仿宋" w:eastAsia="仿宋_GB2312" w:cs="仿宋_GB2312"/>
          <w:sz w:val="32"/>
          <w:szCs w:val="32"/>
        </w:rPr>
        <w:t>经济总量持续做大，地区生产总值实现年均增长10%。三次产业结构更加优化，热带高效农业、海洋渔业基础更加稳固，服务业增加值翻一番，产业链现代化水平明显提高。城乡区域发展协调性明显增强，现代化经济体系建设取得重大进展。</w:t>
      </w:r>
    </w:p>
    <w:p>
      <w:pPr>
        <w:ind w:firstLine="642" w:firstLineChars="200"/>
        <w:rPr>
          <w:rFonts w:ascii="仿宋_GB2312" w:hAnsi="仿宋_GB2312" w:eastAsia="仿宋_GB2312" w:cs="仿宋_GB2312"/>
          <w:sz w:val="32"/>
          <w:szCs w:val="32"/>
        </w:rPr>
      </w:pPr>
      <w:r>
        <w:rPr>
          <w:rFonts w:hint="eastAsia" w:ascii="仿宋_GB2312" w:hAnsi="楷体" w:eastAsia="仿宋_GB2312" w:cs="楷体"/>
          <w:b/>
          <w:sz w:val="32"/>
          <w:szCs w:val="32"/>
        </w:rPr>
        <w:t>——改革开放步伐不断推进。</w:t>
      </w:r>
      <w:r>
        <w:rPr>
          <w:rFonts w:hint="eastAsia" w:ascii="仿宋_GB2312" w:hAnsi="仿宋" w:eastAsia="仿宋_GB2312"/>
          <w:sz w:val="32"/>
          <w:szCs w:val="32"/>
        </w:rPr>
        <w:t>重点领域改革攻坚加快推进，体制机制障碍逐步破除，发展活力进一步激活</w:t>
      </w:r>
      <w:r>
        <w:rPr>
          <w:rFonts w:hint="eastAsia" w:ascii="仿宋_GB2312" w:hAnsi="仿宋" w:eastAsia="仿宋_GB2312" w:cs="仿宋_GB2312"/>
          <w:sz w:val="32"/>
          <w:szCs w:val="32"/>
        </w:rPr>
        <w:t>，产权制度改革和要素市场化配置改革取得重大进展，营商环境更加优化，参与自由贸易港建设的体制机制更加完善。</w:t>
      </w:r>
    </w:p>
    <w:p>
      <w:pPr>
        <w:ind w:firstLine="642" w:firstLineChars="200"/>
        <w:rPr>
          <w:rFonts w:ascii="仿宋_GB2312" w:hAnsi="仿宋" w:eastAsia="仿宋_GB2312" w:cs="仿宋_GB2312"/>
          <w:sz w:val="32"/>
          <w:szCs w:val="32"/>
        </w:rPr>
      </w:pPr>
      <w:r>
        <w:rPr>
          <w:rFonts w:hint="eastAsia" w:ascii="仿宋_GB2312" w:hAnsi="楷体" w:eastAsia="仿宋_GB2312" w:cs="楷体"/>
          <w:b/>
          <w:sz w:val="32"/>
          <w:szCs w:val="32"/>
        </w:rPr>
        <w:t>——社会文明程度不断提高。</w:t>
      </w:r>
      <w:r>
        <w:rPr>
          <w:rFonts w:hint="eastAsia" w:ascii="仿宋_GB2312" w:hAnsi="仿宋" w:eastAsia="仿宋_GB2312" w:cs="仿宋_GB2312"/>
          <w:sz w:val="32"/>
          <w:szCs w:val="32"/>
        </w:rPr>
        <w:t>社会主义核心价值观深入人心，人民思想道德素质、科学文化素质和身心健康素质明显提高，公共文化服务体系和文化产业体系更加健全，人民精神文化生活日益丰富。</w:t>
      </w:r>
    </w:p>
    <w:p>
      <w:pPr>
        <w:ind w:firstLine="642" w:firstLineChars="200"/>
        <w:rPr>
          <w:rFonts w:ascii="仿宋_GB2312" w:hAnsi="仿宋_GB2312" w:eastAsia="仿宋_GB2312" w:cs="仿宋_GB2312"/>
          <w:sz w:val="32"/>
          <w:szCs w:val="32"/>
        </w:rPr>
      </w:pPr>
      <w:r>
        <w:rPr>
          <w:rFonts w:hint="eastAsia" w:ascii="仿宋_GB2312" w:hAnsi="楷体" w:eastAsia="仿宋_GB2312" w:cs="楷体"/>
          <w:b/>
          <w:sz w:val="32"/>
          <w:szCs w:val="32"/>
        </w:rPr>
        <w:t>——生态文明建设不断优化。</w:t>
      </w:r>
      <w:r>
        <w:rPr>
          <w:rFonts w:hint="eastAsia" w:ascii="仿宋_GB2312" w:hAnsi="仿宋" w:eastAsia="仿宋_GB2312" w:cs="仿宋_GB2312"/>
          <w:sz w:val="32"/>
          <w:szCs w:val="32"/>
        </w:rPr>
        <w:t>国土空间开发保护格局得到优化，生产生活方式绿色转型成效显著，能源资源配置更加合理、利用效率大幅提高，主要污染物排放总量持续减少，生态环境持续改善，生态安全屏障更加牢固，城乡人居环境明显改善。</w:t>
      </w:r>
    </w:p>
    <w:p>
      <w:pPr>
        <w:ind w:firstLine="642" w:firstLineChars="200"/>
        <w:rPr>
          <w:rFonts w:ascii="仿宋_GB2312" w:hAnsi="仿宋" w:eastAsia="仿宋_GB2312" w:cs="仿宋_GB2312"/>
          <w:sz w:val="32"/>
          <w:szCs w:val="32"/>
        </w:rPr>
      </w:pPr>
      <w:r>
        <w:rPr>
          <w:rFonts w:hint="eastAsia" w:ascii="仿宋_GB2312" w:hAnsi="楷体" w:eastAsia="仿宋_GB2312" w:cs="楷体"/>
          <w:b/>
          <w:sz w:val="32"/>
          <w:szCs w:val="32"/>
        </w:rPr>
        <w:t>——民生保障水平不断改善。</w:t>
      </w:r>
      <w:r>
        <w:rPr>
          <w:rFonts w:hint="eastAsia" w:ascii="仿宋_GB2312" w:hAnsi="仿宋" w:eastAsia="仿宋_GB2312" w:cs="仿宋_GB2312"/>
          <w:sz w:val="32"/>
          <w:szCs w:val="32"/>
        </w:rPr>
        <w:t>实现更加充分更高质量就业，居民收入增长和经济增长基本同步，分配结构明显改善，基本公共服务均等化水平明显提高，全民受教育程度不断提升，社会保障体系更加健全，卫生健康体系更加完善，脱贫攻坚成果巩固拓展，乡村振兴战略全面推进。</w:t>
      </w:r>
    </w:p>
    <w:p>
      <w:pPr>
        <w:ind w:firstLine="642" w:firstLineChars="200"/>
        <w:rPr>
          <w:rFonts w:ascii="仿宋_GB2312" w:hAnsi="仿宋" w:eastAsia="仿宋_GB2312" w:cs="仿宋_GB2312"/>
          <w:sz w:val="32"/>
          <w:szCs w:val="32"/>
        </w:rPr>
      </w:pPr>
      <w:r>
        <w:rPr>
          <w:rFonts w:hint="eastAsia" w:ascii="仿宋_GB2312" w:hAnsi="楷体" w:eastAsia="仿宋_GB2312" w:cs="楷体"/>
          <w:b/>
          <w:sz w:val="32"/>
          <w:szCs w:val="32"/>
        </w:rPr>
        <w:t>——社会治理能力不断增强。</w:t>
      </w:r>
      <w:r>
        <w:rPr>
          <w:rFonts w:hint="eastAsia" w:ascii="仿宋_GB2312" w:hAnsi="仿宋" w:eastAsia="仿宋_GB2312" w:cs="仿宋_GB2312"/>
          <w:sz w:val="32"/>
          <w:szCs w:val="32"/>
        </w:rPr>
        <w:t>民主法治更加健全，社会公平正义进一步彰显，政府作用更好发挥，行政效率和公信力显著提升，社会治理特别是基层治理水平明显提高，防范化解重大风险体制机制不断健全，突发公共事件应急能力显著增强，自然灾害防御水平明显提升，发展安全保障更加有力。</w:t>
      </w:r>
    </w:p>
    <w:p>
      <w:pPr>
        <w:ind w:firstLine="420" w:firstLineChars="200"/>
        <w:rPr>
          <w:rFonts w:ascii="仿宋_GB2312" w:hAnsi="仿宋" w:eastAsia="仿宋_GB2312" w:cs="仿宋_GB2312"/>
          <w:sz w:val="32"/>
          <w:szCs w:val="32"/>
        </w:rPr>
      </w:pPr>
      <w:r>
        <w:rPr>
          <w:rFonts w:hint="eastAsia"/>
          <w:szCs w:val="32"/>
        </w:rPr>
        <w:drawing>
          <wp:inline distT="0" distB="0" distL="0" distR="0">
            <wp:extent cx="5615940" cy="6851015"/>
            <wp:effectExtent l="19050" t="0" r="381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3"/>
                    <a:srcRect/>
                    <a:stretch>
                      <a:fillRect/>
                    </a:stretch>
                  </pic:blipFill>
                  <pic:spPr>
                    <a:xfrm>
                      <a:off x="0" y="0"/>
                      <a:ext cx="5615940" cy="6851303"/>
                    </a:xfrm>
                    <a:prstGeom prst="rect">
                      <a:avLst/>
                    </a:prstGeom>
                    <a:noFill/>
                    <a:ln w="9525">
                      <a:noFill/>
                      <a:miter lim="800000"/>
                      <a:headEnd/>
                      <a:tailEnd/>
                    </a:ln>
                  </pic:spPr>
                </pic:pic>
              </a:graphicData>
            </a:graphic>
          </wp:inline>
        </w:drawing>
      </w:r>
    </w:p>
    <w:p>
      <w:pPr>
        <w:ind w:firstLine="640" w:firstLineChars="200"/>
        <w:rPr>
          <w:rFonts w:ascii="仿宋_GB2312" w:hAnsi="仿宋" w:eastAsia="仿宋_GB2312" w:cs="仿宋_GB2312"/>
          <w:sz w:val="32"/>
          <w:szCs w:val="32"/>
        </w:rPr>
      </w:pPr>
    </w:p>
    <w:p>
      <w:pPr>
        <w:rPr>
          <w:rFonts w:ascii="仿宋_GB2312" w:hAnsi="仿宋_GB2312" w:eastAsia="仿宋_GB2312" w:cs="仿宋_GB2312"/>
          <w:sz w:val="32"/>
          <w:szCs w:val="32"/>
        </w:rPr>
      </w:pPr>
    </w:p>
    <w:p>
      <w:pPr>
        <w:pStyle w:val="3"/>
        <w:spacing w:line="240" w:lineRule="auto"/>
        <w:jc w:val="center"/>
        <w:rPr>
          <w:rFonts w:ascii="楷体_GB2312" w:eastAsia="楷体_GB2312" w:cs="仿宋_GB2312" w:hAnsiTheme="majorEastAsia"/>
          <w:szCs w:val="32"/>
        </w:rPr>
      </w:pPr>
      <w:bookmarkStart w:id="14" w:name="_Toc64142996"/>
      <w:r>
        <w:rPr>
          <w:rFonts w:hint="eastAsia" w:ascii="楷体_GB2312" w:eastAsia="楷体_GB2312" w:cs="仿宋_GB2312" w:hAnsiTheme="majorEastAsia"/>
          <w:szCs w:val="32"/>
        </w:rPr>
        <w:t>第六节 远景目标</w:t>
      </w:r>
      <w:bookmarkEnd w:id="14"/>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展望2035年，“三区一园”美丽幸福新临高基本建成，经济总量和城乡居民人均收入迈上新大台阶，经济社会发展达到全省中等以上的发展水平。</w:t>
      </w:r>
    </w:p>
    <w:p>
      <w:pPr>
        <w:ind w:firstLine="642" w:firstLineChars="200"/>
        <w:rPr>
          <w:rFonts w:ascii="仿宋_GB2312" w:hAnsi="仿宋" w:eastAsia="仿宋_GB2312" w:cs="仿宋_GB2312"/>
          <w:sz w:val="32"/>
          <w:szCs w:val="32"/>
        </w:rPr>
      </w:pPr>
      <w:r>
        <w:rPr>
          <w:rFonts w:hint="eastAsia" w:ascii="仿宋_GB2312" w:hAnsi="楷体" w:eastAsia="仿宋_GB2312" w:cs="楷体"/>
          <w:b/>
          <w:sz w:val="32"/>
          <w:szCs w:val="32"/>
        </w:rPr>
        <w:t>——高质量的经济发展。</w:t>
      </w:r>
      <w:r>
        <w:rPr>
          <w:rFonts w:hint="eastAsia" w:ascii="仿宋_GB2312" w:hAnsi="仿宋" w:eastAsia="仿宋_GB2312" w:cs="仿宋"/>
          <w:sz w:val="32"/>
          <w:szCs w:val="32"/>
        </w:rPr>
        <w:t>“两港、两业、两旅、慢城”</w:t>
      </w:r>
      <w:r>
        <w:rPr>
          <w:rFonts w:hint="eastAsia" w:ascii="仿宋_GB2312" w:hAnsi="仿宋" w:eastAsia="仿宋_GB2312" w:cs="仿宋_GB2312"/>
          <w:sz w:val="32"/>
          <w:szCs w:val="32"/>
        </w:rPr>
        <w:t>和“国际设计海岸”建设取得重大进展，基本建成新型建筑产业集聚区、现代热带特色农渔产业示范区、滨海国际慢城休闲体验区和现代航空科技产业园，基本形成以旅游业、现代服务业和高新技术产业为主导的现代特色产业体系。</w:t>
      </w:r>
    </w:p>
    <w:p>
      <w:pPr>
        <w:ind w:firstLine="642" w:firstLineChars="200"/>
        <w:rPr>
          <w:rFonts w:ascii="仿宋_GB2312" w:hAnsi="仿宋" w:eastAsia="仿宋_GB2312" w:cs="仿宋_GB2312"/>
          <w:sz w:val="32"/>
          <w:szCs w:val="32"/>
        </w:rPr>
      </w:pPr>
      <w:r>
        <w:rPr>
          <w:rFonts w:hint="eastAsia" w:ascii="仿宋_GB2312" w:hAnsi="楷体" w:eastAsia="仿宋_GB2312" w:cs="楷体"/>
          <w:b/>
          <w:sz w:val="32"/>
          <w:szCs w:val="32"/>
        </w:rPr>
        <w:t>——高水平的开放形态。</w:t>
      </w:r>
      <w:r>
        <w:rPr>
          <w:rFonts w:hint="eastAsia" w:ascii="仿宋_GB2312" w:hAnsi="仿宋" w:eastAsia="仿宋_GB2312" w:cs="仿宋_GB2312"/>
          <w:sz w:val="32"/>
          <w:szCs w:val="32"/>
        </w:rPr>
        <w:t>营商环境显著提升，对外开放水平达到新高度，在海南自由贸易港建设中的贡献更加凸显。</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——高效能的社会治理。</w:t>
      </w:r>
      <w:r>
        <w:rPr>
          <w:rFonts w:hint="eastAsia" w:ascii="仿宋_GB2312" w:hAnsi="仿宋" w:eastAsia="仿宋_GB2312" w:cs="楷体"/>
          <w:sz w:val="32"/>
          <w:szCs w:val="32"/>
        </w:rPr>
        <w:t>平安临高建设达到更高水平，</w:t>
      </w:r>
      <w:r>
        <w:rPr>
          <w:rFonts w:hint="eastAsia" w:ascii="仿宋_GB2312" w:hAnsi="仿宋" w:eastAsia="仿宋_GB2312" w:cs="仿宋_GB2312"/>
          <w:sz w:val="32"/>
          <w:szCs w:val="32"/>
        </w:rPr>
        <w:t>人民素质和社会文明程度达到新高度，文化软实力显著增强，</w:t>
      </w:r>
      <w:r>
        <w:rPr>
          <w:rFonts w:hint="eastAsia" w:ascii="仿宋_GB2312" w:hAnsi="仿宋" w:eastAsia="仿宋_GB2312" w:cs="楷体"/>
          <w:sz w:val="32"/>
          <w:szCs w:val="32"/>
        </w:rPr>
        <w:t>治理体系和治理能力现代化更加完善。</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——高品质的人民生活。</w:t>
      </w:r>
      <w:r>
        <w:rPr>
          <w:rFonts w:hint="eastAsia" w:ascii="仿宋_GB2312" w:hAnsi="仿宋" w:eastAsia="仿宋_GB2312" w:cs="楷体"/>
          <w:sz w:val="32"/>
          <w:szCs w:val="32"/>
        </w:rPr>
        <w:t>人均收入显著提高，基本公共服务实现均等化，城乡区域发展差距和居民生活水平差距显著缩小，人民生活更加美好。</w:t>
      </w:r>
    </w:p>
    <w:p>
      <w:pPr>
        <w:ind w:firstLine="642" w:firstLineChars="200"/>
        <w:rPr>
          <w:rFonts w:ascii="仿宋_GB2312" w:hAnsi="仿宋_GB2312" w:eastAsia="仿宋_GB2312" w:cs="仿宋_GB2312"/>
          <w:sz w:val="32"/>
          <w:szCs w:val="32"/>
        </w:rPr>
      </w:pPr>
      <w:r>
        <w:rPr>
          <w:rFonts w:hint="eastAsia" w:ascii="仿宋_GB2312" w:hAnsi="楷体" w:eastAsia="仿宋_GB2312" w:cs="楷体"/>
          <w:b/>
          <w:sz w:val="32"/>
          <w:szCs w:val="32"/>
        </w:rPr>
        <w:t>——高标准的生态文明。</w:t>
      </w:r>
      <w:r>
        <w:rPr>
          <w:rFonts w:hint="eastAsia" w:ascii="仿宋_GB2312" w:hAnsi="仿宋" w:eastAsia="仿宋_GB2312" w:cs="仿宋_GB2312"/>
          <w:sz w:val="32"/>
          <w:szCs w:val="32"/>
        </w:rPr>
        <w:t>绿色生产生活方式基本形成，生态环境持续优化，基本建成“国际湿地城市”和“国家森林城市”。</w:t>
      </w:r>
    </w:p>
    <w:p>
      <w:pPr>
        <w:widowControl/>
        <w:jc w:val="left"/>
        <w:rPr>
          <w:rFonts w:ascii="仿宋_GB2312" w:hAnsi="仿宋_GB2312" w:eastAsia="仿宋_GB2312" w:cs="仿宋_GB2312"/>
          <w:sz w:val="32"/>
          <w:szCs w:val="32"/>
        </w:rPr>
      </w:pPr>
    </w:p>
    <w:p>
      <w:pPr>
        <w:pStyle w:val="2"/>
        <w:spacing w:line="240" w:lineRule="auto"/>
        <w:ind w:firstLine="640" w:firstLineChars="200"/>
        <w:rPr>
          <w:rFonts w:ascii="黑体" w:hAnsi="黑体" w:eastAsia="黑体" w:cs="黑体"/>
          <w:b w:val="0"/>
          <w:bCs/>
          <w:sz w:val="32"/>
          <w:szCs w:val="32"/>
        </w:rPr>
      </w:pPr>
      <w:bookmarkStart w:id="15" w:name="_Toc12818"/>
      <w:bookmarkStart w:id="16" w:name="_Toc64142997"/>
      <w:r>
        <w:rPr>
          <w:rFonts w:hint="eastAsia" w:ascii="黑体" w:hAnsi="黑体" w:eastAsia="黑体" w:cs="黑体"/>
          <w:b w:val="0"/>
          <w:bCs/>
          <w:sz w:val="32"/>
          <w:szCs w:val="32"/>
        </w:rPr>
        <w:t>第二章 聚焦制度集成创新，</w:t>
      </w:r>
      <w:bookmarkEnd w:id="15"/>
      <w:r>
        <w:rPr>
          <w:rFonts w:hint="eastAsia" w:ascii="黑体" w:hAnsi="黑体" w:eastAsia="黑体" w:cs="黑体"/>
          <w:b w:val="0"/>
          <w:bCs/>
          <w:sz w:val="32"/>
          <w:szCs w:val="32"/>
        </w:rPr>
        <w:t>扛起自贸港建设担当</w:t>
      </w:r>
      <w:bookmarkEnd w:id="16"/>
    </w:p>
    <w:p>
      <w:pPr>
        <w:ind w:firstLine="640" w:firstLineChars="200"/>
        <w:rPr>
          <w:rFonts w:ascii="仿宋_GB2312" w:hAnsi="仿宋" w:eastAsia="仿宋_GB2312" w:cs="楷体"/>
          <w:sz w:val="32"/>
          <w:szCs w:val="32"/>
        </w:rPr>
      </w:pPr>
      <w:bookmarkStart w:id="17" w:name="_Toc1127_WPSOffice_Level2"/>
      <w:r>
        <w:rPr>
          <w:rFonts w:hint="eastAsia" w:ascii="仿宋_GB2312" w:hAnsi="仿宋" w:eastAsia="仿宋_GB2312" w:cs="楷体"/>
          <w:sz w:val="32"/>
          <w:szCs w:val="32"/>
        </w:rPr>
        <w:t>围绕海南自由贸易港建设，加快改革创新，推动一流营商环境建设，承接好自贸港建设各项政策，加快实现早期收获。</w:t>
      </w:r>
    </w:p>
    <w:p>
      <w:pPr>
        <w:pStyle w:val="3"/>
        <w:spacing w:line="240" w:lineRule="auto"/>
        <w:jc w:val="center"/>
        <w:rPr>
          <w:rFonts w:ascii="楷体_GB2312" w:eastAsia="楷体_GB2312" w:cs="楷体" w:hAnsiTheme="majorEastAsia"/>
          <w:szCs w:val="32"/>
        </w:rPr>
      </w:pPr>
      <w:bookmarkStart w:id="18" w:name="_Toc64142998"/>
      <w:r>
        <w:rPr>
          <w:rFonts w:hint="eastAsia" w:ascii="楷体_GB2312" w:eastAsia="楷体_GB2312" w:cs="楷体" w:hAnsiTheme="majorEastAsia"/>
          <w:szCs w:val="32"/>
        </w:rPr>
        <w:t>第一节 推进特殊税收制度政策落实</w:t>
      </w:r>
      <w:bookmarkEnd w:id="18"/>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积极推动“零关税、低税率、简税制”特殊税收安排在临高落地实施，为广大投资者、经营者、消费者获得优惠税收政策提供便利条件。</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落实部分进口商品零关税政策。</w:t>
      </w:r>
      <w:r>
        <w:rPr>
          <w:rFonts w:hint="eastAsia" w:ascii="仿宋_GB2312" w:hAnsi="仿宋" w:eastAsia="仿宋_GB2312" w:cs="楷体"/>
          <w:sz w:val="32"/>
          <w:szCs w:val="32"/>
        </w:rPr>
        <w:t>对企业进口自用生产设备、陆海空运输设备、生产性原辅材料和居民消费品实施“一负三正”清单管理制度，对负面清单之外和正面清单之内的进口商品，免征进口关税、进口环节增值税和消费税。推动离岛免税和岛内居民免税购物经营模式创新，在澜江新城、东英国际慢城、新调国际渔港经济区等重点区域争取试点扩大经营许可权，积极引导海外消费回流。主动做好部分进口商品零关税政策对接服务工作，支持海关、安检、质检等部门联合执法、便利通关，推动政策加快落地实施发挥效益，为企业、游客、居民享受部分进口商品零关税政策创造轻松便利环境。</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落实低税率税收优惠政策。</w:t>
      </w:r>
      <w:r>
        <w:rPr>
          <w:rFonts w:hint="eastAsia" w:ascii="仿宋_GB2312" w:hAnsi="仿宋" w:eastAsia="仿宋_GB2312" w:cs="楷体"/>
          <w:sz w:val="32"/>
          <w:szCs w:val="32"/>
        </w:rPr>
        <w:t>不折不扣执行国家有关部门和省委、省政府的有关政策规定，确保鼓励类产业、旅游业、现代服务业、高新技术产业等四类企业和高端紧缺人才（“4+1”）享受海南自贸港低税率优惠政策。对鼓励类产业企业减按15%征收企业所得税；对高端紧缺人才个人所得税实际税负不超过15%；对旅游业、现代服务业、高新技术产业企业2025年前新增境外直接投资所得免征企业所得税。同时，对所有企业符合条件的资本性支出，实行在支出发生当期一次性税前扣除或加速折旧、摊销的政策。建立健全落实低税率税收优惠政策对接服务工作机制，努力让在临高的每一个符合条件的企业和个人以最简捷、最便利的方式享受到低税率税收优惠政策。</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推进简化税制改革。</w:t>
      </w:r>
      <w:r>
        <w:rPr>
          <w:rFonts w:hint="eastAsia" w:ascii="仿宋_GB2312" w:hAnsi="仿宋" w:eastAsia="仿宋_GB2312" w:cs="楷体"/>
          <w:sz w:val="32"/>
          <w:szCs w:val="32"/>
        </w:rPr>
        <w:t>推进税种制度改革，在全岛封关运作前完成增值税、消费税、车辆购置税、城市维护建设税和教育费附加等税费简并，以及货物和服务零售环节销售税征收的相关准备工作。支持税务部门加强税收监管，对纳税行为进行评估和预警，加强国内外涉税情报信息共享，防范偷税漏税和利润转移，按照守信激励、失信惩戒的原则对不同信用级别的纳税人实施分类服务和管理。</w:t>
      </w:r>
    </w:p>
    <w:p>
      <w:pPr>
        <w:pStyle w:val="3"/>
        <w:spacing w:line="240" w:lineRule="auto"/>
        <w:jc w:val="center"/>
        <w:rPr>
          <w:rFonts w:ascii="楷体_GB2312" w:eastAsia="楷体_GB2312" w:cs="楷体" w:hAnsiTheme="majorEastAsia"/>
          <w:szCs w:val="32"/>
        </w:rPr>
      </w:pPr>
      <w:bookmarkStart w:id="19" w:name="_Toc64142999"/>
      <w:r>
        <w:rPr>
          <w:rFonts w:hint="eastAsia" w:ascii="楷体_GB2312" w:eastAsia="楷体_GB2312" w:cs="楷体" w:hAnsiTheme="majorEastAsia"/>
          <w:szCs w:val="32"/>
        </w:rPr>
        <w:t>第二节 推动贸易投资自由化便利化</w:t>
      </w:r>
      <w:bookmarkEnd w:id="19"/>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推进货物贸易零关税、零壁垒和服务贸易既准入又准营的制度创新，推动贸易投资自由化便利化措施在临高落地实施。</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做好“一二线”监管服务工作。</w:t>
      </w:r>
      <w:r>
        <w:rPr>
          <w:rFonts w:hint="eastAsia" w:ascii="仿宋_GB2312" w:hAnsi="仿宋" w:eastAsia="仿宋_GB2312" w:cs="楷体"/>
          <w:sz w:val="32"/>
          <w:szCs w:val="32"/>
        </w:rPr>
        <w:t>以最高标准、最优水平做好“一线放开、二线管住”监管服务工作，确保“一二线”进出口管理制度监管措施落实到位。推动金牌港口岸通关便利化，建立健全高标准、高效率国际贸易“单一窗口”运作机制。在履行海关监管要求的前提下，探索运用电子虚拟围网物流监管新模式，争取将金牌港开发区、新调国际渔港经济区等重点区域纳入海关特殊监管区域范围，实行原产地规则。</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落实服务贸易自由化便利化措施。</w:t>
      </w:r>
      <w:r>
        <w:rPr>
          <w:rFonts w:hint="eastAsia" w:ascii="仿宋_GB2312" w:hAnsi="仿宋" w:eastAsia="仿宋_GB2312" w:cs="楷体"/>
          <w:sz w:val="32"/>
          <w:szCs w:val="32"/>
        </w:rPr>
        <w:t>减少跨境服务贸易限制，实施外商投资准入跨境服务贸易负面清单管理制度，清单之外给予境外投资者和服务提供者国民待遇。依托国际设计海岸，吸引国际设计、国际贸易、国际金融、国际投资、国际会计、国际市场评级、国际咨询等专业服务机构和专业服务人才，为在海南注册并有实质经营活动的企业提供境外上市、对外发行债券、跨境资本交割、跨境贸易结算等专业技术服务，探索发展离岸专业技术服务贸易。</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推进投资经营自由化便利化制度创新。</w:t>
      </w:r>
      <w:r>
        <w:rPr>
          <w:rFonts w:hint="eastAsia" w:ascii="仿宋_GB2312" w:hAnsi="仿宋" w:eastAsia="仿宋_GB2312" w:cs="楷体"/>
          <w:sz w:val="32"/>
          <w:szCs w:val="32"/>
        </w:rPr>
        <w:t>完善市场准入制度，对企业投资经营事项实行备案制和承诺即入制，在具有强制性标准的领域建立“标准制+承诺制”的准入制度。深化国际投资“单一窗口”制度集成创新，对外商投资实行准入前国民待遇加负面清单管理制度，大幅减少限制和禁止条款。深化“证照分离”改革，落实“准入即准营”。全面推行“极简审批”制度，第一时间落实相关的简易化措施和程序，最大限度给予投资者和经营者自由便利条件。强化国家安全审查、产业准入环境标准，建立健全以信用监管为基础的事中事后过程监管体系，打造“有事必应、无事不扰”的“店小二”投资经营环境。</w:t>
      </w:r>
    </w:p>
    <w:p>
      <w:pPr>
        <w:pStyle w:val="3"/>
        <w:spacing w:line="240" w:lineRule="auto"/>
        <w:jc w:val="center"/>
        <w:rPr>
          <w:rFonts w:ascii="楷体_GB2312" w:eastAsia="楷体_GB2312" w:cs="楷体" w:hAnsiTheme="majorEastAsia"/>
          <w:szCs w:val="32"/>
        </w:rPr>
      </w:pPr>
      <w:bookmarkStart w:id="20" w:name="_Toc64143000"/>
      <w:r>
        <w:rPr>
          <w:rFonts w:hint="eastAsia" w:ascii="楷体_GB2312" w:eastAsia="楷体_GB2312" w:cs="楷体" w:hAnsiTheme="majorEastAsia"/>
          <w:szCs w:val="32"/>
        </w:rPr>
        <w:t>第三节 稳步推进跨境资金流动</w:t>
      </w:r>
      <w:bookmarkEnd w:id="20"/>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围绕贸易投资自由化便利化，以服务实体经济为重点，稳妥推进资本项目开放，有序推进跨境资金自由便利流动。</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用好用足自由贸易账户体系。</w:t>
      </w:r>
      <w:r>
        <w:rPr>
          <w:rFonts w:hint="eastAsia" w:ascii="仿宋_GB2312" w:hAnsi="仿宋" w:eastAsia="仿宋_GB2312" w:cs="楷体"/>
          <w:sz w:val="32"/>
          <w:szCs w:val="32"/>
        </w:rPr>
        <w:t>鼓励临高的企业、机构和个人开设多功能本外币可兑换的自由贸易账户，支持金融机构围绕重点产业和重点园区为临高客户群量身定做跨境贸易、跨境投融资、跨境资金管理、跨境资金避险保值管理、跨境供应链等金融服务便利化产品，充分发挥自由贸易帐户容本外币多币种于一体和可进行存汇兑融多种业务的功能和作用，为跨境资金自由流动提供便利渠道。</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稳步推进跨境贸易投资资金自由兑换。</w:t>
      </w:r>
      <w:r>
        <w:rPr>
          <w:rFonts w:hint="eastAsia" w:ascii="仿宋_GB2312" w:hAnsi="仿宋" w:eastAsia="仿宋_GB2312" w:cs="楷体"/>
          <w:sz w:val="32"/>
          <w:szCs w:val="32"/>
        </w:rPr>
        <w:t>进一步推动跨境货物贸易、服务贸易和新型国际贸易结算便利化，实现银行真实性审核从事前审查转为事后核查。探索适应市场需求新形态的跨境投资管理，按照准入前国民待遇加负面清单模式，简化跨境直接投资交易环节管理，提高兑换环节登记和兑换的便利性。探索建立新的外债管理体制，全面实施全口径跨境融资宏观审慎管理，完善企业发行外债备案登记制管理，稳步扩大跨境资产转让范围，推进合并跨境融资领域交易环节外债管理框架试点，提升外债资金汇兑便利化水平。推进跨境证券投融资改革试点，围绕特色产业和比较优势产业发展，支持符合条件的临高企业境外上市，优先发行债券，简化汇兑管理。</w:t>
      </w:r>
    </w:p>
    <w:p>
      <w:pPr>
        <w:ind w:firstLine="642" w:firstLineChars="200"/>
        <w:rPr>
          <w:rFonts w:ascii="仿宋_GB2312" w:hAnsi="楷体" w:eastAsia="仿宋_GB2312" w:cs="楷体"/>
          <w:sz w:val="32"/>
          <w:szCs w:val="32"/>
        </w:rPr>
      </w:pPr>
      <w:r>
        <w:rPr>
          <w:rFonts w:hint="eastAsia" w:ascii="仿宋_GB2312" w:hAnsi="楷体" w:eastAsia="仿宋_GB2312" w:cs="楷体"/>
          <w:b/>
          <w:sz w:val="32"/>
          <w:szCs w:val="32"/>
        </w:rPr>
        <w:t>大力增强金融服务实体经济的能力。</w:t>
      </w:r>
      <w:r>
        <w:rPr>
          <w:rFonts w:hint="eastAsia" w:ascii="仿宋_GB2312" w:hAnsi="仿宋" w:eastAsia="仿宋_GB2312" w:cs="楷体"/>
          <w:sz w:val="32"/>
          <w:szCs w:val="32"/>
        </w:rPr>
        <w:t>落实金融业率先扩大开放政策，积极引进国内外银行、保险、证券、期货、基金等金融机构，支持金融机构围绕热带高效农业、新型建筑、现代海洋、现代航空、数字智能、绿色循环、高端设计等重点产业链、供应链进行金融产品和服务创新，大力发展产业链、供应链金融服务业，开展保单融资、仓单质押贷款、应收账款质押贷款、知识产权质押融资等业务，积极发展海洋渔业智能装备、民用航空飞机、高价值通用航空飞行器等领域融资租赁业，增强金融服务实体经济的能力。加快培育发展金融科技产业，探索开展跨境资产管理业务，推进合格境外有限合伙人(QFLP)和合格境内有限合伙人(QDLP)试点工作，拓宽境内外双向投资渠道，吸引基金投资者，培育发展基于大数据和人工智能的现代资产管理产业。探索建设离岸人民币结算中心，探索利用离岸人民币资源服务临高实体经济发展的有效途径。</w:t>
      </w:r>
    </w:p>
    <w:p>
      <w:pPr>
        <w:spacing w:line="480" w:lineRule="auto"/>
        <w:rPr>
          <w:rFonts w:ascii="楷体" w:hAnsi="楷体" w:eastAsia="楷体" w:cs="楷体"/>
          <w:sz w:val="32"/>
          <w:szCs w:val="32"/>
        </w:rPr>
      </w:pPr>
    </w:p>
    <w:p>
      <w:pPr>
        <w:spacing w:line="480" w:lineRule="auto"/>
        <w:rPr>
          <w:rFonts w:ascii="楷体" w:hAnsi="楷体" w:eastAsia="楷体" w:cs="楷体"/>
          <w:sz w:val="32"/>
          <w:szCs w:val="32"/>
        </w:rPr>
      </w:pPr>
    </w:p>
    <w:tbl>
      <w:tblPr>
        <w:tblStyle w:val="12"/>
        <w:tblW w:w="8794" w:type="dxa"/>
        <w:jc w:val="center"/>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600" w:hRule="atLeast"/>
          <w:jc w:val="center"/>
        </w:trPr>
        <w:tc>
          <w:tcPr>
            <w:tcW w:w="8794"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专栏2  自贸港制度政策落地重点任务</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240" w:firstLineChars="1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（一）部分进口商品零关税政策</w:t>
            </w:r>
          </w:p>
        </w:tc>
      </w:tr>
      <w:tr>
        <w:tblPrEx>
          <w:tblCellMar>
            <w:top w:w="0" w:type="dxa"/>
            <w:left w:w="108" w:type="dxa"/>
            <w:bottom w:w="0" w:type="dxa"/>
            <w:right w:w="108" w:type="dxa"/>
          </w:tblCellMar>
        </w:tblPrEx>
        <w:trPr>
          <w:trHeight w:val="86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推进“一负三正”清单管理制度落地实施，在澜江新城、国际慢城、国际渔港经济区等区域争取离岛和岛内免税商品经营许可试点，建立部分商品进口零关税政策主动对接服务机制。</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ind w:firstLine="240" w:firstLineChars="1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（二）低税率税收优惠政策</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spacing w:line="40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建立健全“4+1”企业和人才税收优惠政策简捷、便利落地实施机制。</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240" w:firstLineChars="1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（三）简税制税收制度改革</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完成税种制度改革，加强税收监管，建立基于信用级别的纳税人分类管理和服务制度。</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240" w:firstLineChars="1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（四）“一二线”监管服务</w:t>
            </w:r>
          </w:p>
        </w:tc>
      </w:tr>
      <w:tr>
        <w:tblPrEx>
          <w:tblCellMar>
            <w:top w:w="0" w:type="dxa"/>
            <w:left w:w="108" w:type="dxa"/>
            <w:bottom w:w="0" w:type="dxa"/>
            <w:right w:w="108" w:type="dxa"/>
          </w:tblCellMar>
        </w:tblPrEx>
        <w:trPr>
          <w:trHeight w:val="68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建立健全金牌港国际贸易“单一窗口”运作机制；探索监管新模式，争取金牌港开发区等重点区域实行原产地规则。</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240" w:firstLineChars="1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（五）服务贸易自由便利化</w:t>
            </w:r>
          </w:p>
        </w:tc>
      </w:tr>
      <w:tr>
        <w:tblPrEx>
          <w:tblCellMar>
            <w:top w:w="0" w:type="dxa"/>
            <w:left w:w="108" w:type="dxa"/>
            <w:bottom w:w="0" w:type="dxa"/>
            <w:right w:w="108" w:type="dxa"/>
          </w:tblCellMar>
        </w:tblPrEx>
        <w:trPr>
          <w:trHeight w:val="708"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实施外商投资准入跨境服务贸易负面清单管理制度；规划建设国际设计海岸，探索发展离岸专业技术服务贸易。</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240" w:firstLineChars="1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（六）投资经营自由化便利化</w:t>
            </w:r>
          </w:p>
        </w:tc>
      </w:tr>
      <w:tr>
        <w:tblPrEx>
          <w:tblCellMar>
            <w:top w:w="0" w:type="dxa"/>
            <w:left w:w="108" w:type="dxa"/>
            <w:bottom w:w="0" w:type="dxa"/>
            <w:right w:w="108" w:type="dxa"/>
          </w:tblCellMar>
        </w:tblPrEx>
        <w:trPr>
          <w:trHeight w:val="98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全面推行准入承诺即入制、国际投资“单一窗口”制、“极简审批”制等制度安排，最大限度落实“非禁即入”、“准入即准营”等措施，打造“有事必应、无事不扰”店小二投资经营服务模式。</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（七）多功能自由贸易账户</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围绕重点产业，支持金融机构为临高客户群量身定做跨境金融服务便利化产品，用足用好用活多功能自由贸易账户。</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ind w:firstLine="240" w:firstLineChars="1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（八）跨境贸易投资资金自由兑换</w:t>
            </w:r>
          </w:p>
        </w:tc>
      </w:tr>
      <w:tr>
        <w:tblPrEx>
          <w:tblCellMar>
            <w:top w:w="0" w:type="dxa"/>
            <w:left w:w="108" w:type="dxa"/>
            <w:bottom w:w="0" w:type="dxa"/>
            <w:right w:w="108" w:type="dxa"/>
          </w:tblCellMar>
        </w:tblPrEx>
        <w:trPr>
          <w:trHeight w:val="888"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按照准入前国民待遇加负面清单模式，简化跨境直接投资交易环节管理；落实全口径跨境融资宏观审慎管理和企业发行外债备案登记制管理，推进合并跨境 融资领域交易环节外债管理框架试点。</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400" w:lineRule="exact"/>
              <w:ind w:firstLine="240" w:firstLineChars="1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（九）金融创新服务实体经济</w:t>
            </w:r>
          </w:p>
        </w:tc>
      </w:tr>
      <w:tr>
        <w:tblPrEx>
          <w:tblCellMar>
            <w:top w:w="0" w:type="dxa"/>
            <w:left w:w="108" w:type="dxa"/>
            <w:bottom w:w="0" w:type="dxa"/>
            <w:right w:w="108" w:type="dxa"/>
          </w:tblCellMar>
        </w:tblPrEx>
        <w:trPr>
          <w:trHeight w:val="684" w:hRule="atLeast"/>
          <w:jc w:val="center"/>
        </w:trPr>
        <w:tc>
          <w:tcPr>
            <w:tcW w:w="8794" w:type="dxa"/>
            <w:tcBorders>
              <w:top w:val="nil"/>
              <w:left w:val="single" w:color="auto" w:sz="4" w:space="0"/>
              <w:bottom w:val="double" w:color="auto" w:sz="6" w:space="0"/>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大力发展产业链、供应链金融服务业产业；推进QFLP和QDLP试点工作；探索建设海洋产业等领域离岸人民币结算中心。</w:t>
            </w:r>
          </w:p>
        </w:tc>
      </w:tr>
      <w:tr>
        <w:tblPrEx>
          <w:tblCellMar>
            <w:top w:w="0" w:type="dxa"/>
            <w:left w:w="108" w:type="dxa"/>
            <w:bottom w:w="0" w:type="dxa"/>
            <w:right w:w="108" w:type="dxa"/>
          </w:tblCellMar>
        </w:tblPrEx>
        <w:trPr>
          <w:trHeight w:val="300" w:hRule="atLeast"/>
          <w:jc w:val="center"/>
        </w:trPr>
        <w:tc>
          <w:tcPr>
            <w:tcW w:w="879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pStyle w:val="2"/>
        <w:spacing w:line="240" w:lineRule="auto"/>
        <w:ind w:firstLine="640" w:firstLineChars="200"/>
        <w:rPr>
          <w:rFonts w:ascii="黑体" w:hAnsi="黑体" w:eastAsia="黑体" w:cs="黑体"/>
          <w:b w:val="0"/>
          <w:bCs/>
          <w:sz w:val="32"/>
          <w:szCs w:val="32"/>
        </w:rPr>
      </w:pPr>
      <w:bookmarkStart w:id="21" w:name="_Toc5343"/>
      <w:bookmarkStart w:id="22" w:name="_Toc45976652"/>
      <w:bookmarkStart w:id="23" w:name="_Toc64143001"/>
      <w:r>
        <w:rPr>
          <w:rFonts w:hint="eastAsia" w:ascii="黑体" w:hAnsi="黑体" w:eastAsia="黑体" w:cs="黑体"/>
          <w:b w:val="0"/>
          <w:bCs/>
          <w:sz w:val="32"/>
          <w:szCs w:val="32"/>
        </w:rPr>
        <w:t>第三章 围绕优化营商环境，全面推动深化改革</w:t>
      </w:r>
      <w:bookmarkEnd w:id="21"/>
      <w:bookmarkEnd w:id="22"/>
      <w:bookmarkEnd w:id="23"/>
    </w:p>
    <w:p>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对标国际营商环境标准，全面深化改革开放，加快建设一流的法治化、国际化、便利化营商环境。</w:t>
      </w:r>
      <w:bookmarkStart w:id="24" w:name="_Toc45976653"/>
    </w:p>
    <w:p>
      <w:pPr>
        <w:pStyle w:val="3"/>
        <w:spacing w:line="240" w:lineRule="auto"/>
        <w:jc w:val="center"/>
        <w:rPr>
          <w:rFonts w:ascii="楷体_GB2312" w:eastAsia="楷体_GB2312" w:cs="楷体" w:hAnsiTheme="majorEastAsia"/>
          <w:szCs w:val="32"/>
        </w:rPr>
      </w:pPr>
      <w:bookmarkStart w:id="25" w:name="_Toc64143002"/>
      <w:r>
        <w:rPr>
          <w:rFonts w:hint="eastAsia" w:ascii="楷体_GB2312" w:eastAsia="楷体_GB2312" w:cs="楷体" w:hAnsiTheme="majorEastAsia"/>
          <w:szCs w:val="32"/>
        </w:rPr>
        <w:t>第一节 深化重点领域和关键环节改革</w:t>
      </w:r>
      <w:bookmarkEnd w:id="24"/>
      <w:bookmarkEnd w:id="25"/>
    </w:p>
    <w:p>
      <w:pPr>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围绕营造一流营商环境，破除阻碍要素自由流动的体制机制障碍，充分发挥市场在资源配置中的决定性作用，更好地发挥政府作用，进一步激发各类市场主体活力。</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建立健全优化营商环境工作机制。</w:t>
      </w:r>
      <w:r>
        <w:rPr>
          <w:rFonts w:hint="eastAsia" w:ascii="仿宋_GB2312" w:hAnsi="仿宋" w:eastAsia="仿宋_GB2312" w:cs="仿宋"/>
          <w:sz w:val="32"/>
          <w:szCs w:val="32"/>
        </w:rPr>
        <w:t>坚持三级书记抓优化营商环境工作，健全党委领导、政府负责、各方参与、社会监督的工作机制。制定优化营商环境中长期行动计划，明确目标、挂图作战。建立健全各类市场主体评价反馈机制，动员人大代表、政协委员、民主党派、人民群众和新闻媒体参与营商环境监督，完善营商环境评价考核机制及成果应用。</w:t>
      </w:r>
    </w:p>
    <w:p>
      <w:pPr>
        <w:ind w:firstLine="642" w:firstLineChars="200"/>
        <w:rPr>
          <w:rFonts w:ascii="仿宋_GB2312" w:hAnsi="仿宋" w:eastAsia="仿宋_GB2312" w:cs="楷体"/>
          <w:sz w:val="32"/>
          <w:szCs w:val="32"/>
        </w:rPr>
      </w:pPr>
      <w:r>
        <w:rPr>
          <w:rFonts w:hint="eastAsia" w:ascii="仿宋_GB2312" w:hAnsi="楷体" w:eastAsia="仿宋_GB2312" w:cs="仿宋"/>
          <w:b/>
          <w:sz w:val="32"/>
          <w:szCs w:val="32"/>
        </w:rPr>
        <w:t>深化政府机构改革。</w:t>
      </w:r>
      <w:r>
        <w:rPr>
          <w:rFonts w:hint="eastAsia" w:ascii="仿宋_GB2312" w:hAnsi="仿宋" w:eastAsia="仿宋_GB2312" w:cs="楷体"/>
          <w:sz w:val="32"/>
          <w:szCs w:val="32"/>
        </w:rPr>
        <w:t>围绕重点产业的培育和发展，打破乡镇行政壁垒，优化行政资源配置，推动有效市场和有为政府更好结合。进一步完善大部制、扁平化、聘任制的管理体制，控制综合类公务员比例，推动人员编制向产业园区、乡镇、社区、监管等一线工作部门倾斜。在滨海新区、波莲循环经济科技产业园、加来航空科技产业园等重点产业园区，探索建立“一区多园”的管理模式，探索实行“管委会+平台公司+产业生态”的运营机制，探索实施园区财税、人事等正向激励政策，加快形成与自贸港制度相适应的高度开放、高效灵活的园区管理运作体制，更好地发挥政府规划和政策引导作用，最大限度激发市场主体活力。</w:t>
      </w:r>
    </w:p>
    <w:p>
      <w:pPr>
        <w:ind w:firstLine="642" w:firstLineChars="200"/>
        <w:rPr>
          <w:rFonts w:ascii="仿宋_GB2312" w:hAnsi="仿宋" w:eastAsia="仿宋_GB2312" w:cs="楷体"/>
          <w:sz w:val="32"/>
          <w:szCs w:val="32"/>
        </w:rPr>
      </w:pPr>
      <w:r>
        <w:rPr>
          <w:rFonts w:hint="eastAsia" w:ascii="仿宋_GB2312" w:hAnsi="楷体" w:eastAsia="仿宋_GB2312" w:cs="仿宋"/>
          <w:b/>
          <w:sz w:val="32"/>
          <w:szCs w:val="32"/>
        </w:rPr>
        <w:t>加快政府职能转变。</w:t>
      </w:r>
      <w:r>
        <w:rPr>
          <w:rFonts w:hint="eastAsia" w:ascii="仿宋_GB2312" w:hAnsi="仿宋" w:eastAsia="仿宋_GB2312" w:cs="楷体"/>
          <w:sz w:val="32"/>
          <w:szCs w:val="32"/>
        </w:rPr>
        <w:t>深化简政放权、放管结合、优化服务改革，推动电子政务数字化改造升级，完善“四个清单、一张网”管理模式，提升行政服务标准化、目录化、便利化建设，全面实施负面清单、正面清单、权力清单和责任清单管理制度，全面做到“一枚印章管审批”、“一窗受理、一网通办”和“马上办、就近办、最多跑一次、一次办成事”。推进“智慧政务”，建设一批全天候智能政务服务项目，全方位提高政务服务效能和水平，为企业提供“保姆式”“一站式”代办服务。深化“双随机、一公开”市场监管体制改革和综合执法改革，对新技术、新产业、新业态、新模式实行包容审慎监管。依法推进政府信息公开，探索建立服务对象身份信息、财产信息和商业信息保密制度，非经法定机构和法定程序，严格禁止向第三方特别是盈利机构提供在政府登记的市场主体相关信息。探索政务服务第三方和公众评价机制。</w:t>
      </w:r>
    </w:p>
    <w:p>
      <w:pPr>
        <w:ind w:firstLine="642" w:firstLineChars="200"/>
        <w:rPr>
          <w:rFonts w:ascii="仿宋_GB2312" w:hAnsi="仿宋" w:eastAsia="仿宋_GB2312" w:cs="仿宋"/>
          <w:bCs/>
          <w:sz w:val="32"/>
          <w:szCs w:val="32"/>
        </w:rPr>
      </w:pPr>
      <w:r>
        <w:rPr>
          <w:rFonts w:hint="eastAsia" w:ascii="仿宋_GB2312" w:hAnsi="楷体" w:eastAsia="仿宋_GB2312" w:cs="仿宋"/>
          <w:b/>
          <w:bCs/>
          <w:sz w:val="32"/>
          <w:szCs w:val="32"/>
        </w:rPr>
        <w:t>推进扩权强镇改革。</w:t>
      </w:r>
      <w:r>
        <w:rPr>
          <w:rFonts w:hint="eastAsia" w:ascii="仿宋_GB2312" w:hAnsi="仿宋" w:eastAsia="仿宋_GB2312" w:cs="仿宋"/>
          <w:bCs/>
          <w:sz w:val="32"/>
          <w:szCs w:val="32"/>
        </w:rPr>
        <w:t>加快建立自贸港制度政策体系框架下新型县镇关系，着力解决镇一级人力配置不匹配、责权不对等、职权分割等突出问题，进一步激发镇域经济发展活力。按照发展基础、发展需要和管理能力因镇施策，简政放权，扩大镇级经济管理权限，调动各镇加快经济发展的积极性。进一步调整完善财政管理体制，加大财政对镇域经济发展的正向激励力度，支持各镇依法开辟城镇开发建设资金渠道，按照全县产业布局规划加大招商引资力度，鼓励各镇大力挖掘自身潜力，加快发展优势产业，建设富民强基骨干税源工程。建立健全县级领导定点联系乡镇工作机制，完善科学的考核激励机制，加强对乡镇干部的关怀和培养，全面激发乡镇干部干事创业的积极性。</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推进投融资机制创新。</w:t>
      </w:r>
      <w:r>
        <w:rPr>
          <w:rFonts w:hint="eastAsia" w:ascii="仿宋_GB2312" w:hAnsi="仿宋" w:eastAsia="仿宋_GB2312" w:cs="仿宋"/>
          <w:sz w:val="32"/>
          <w:szCs w:val="32"/>
        </w:rPr>
        <w:t>探索采用“专项债+社会化融资”的模式，打造创投产业基地、“民宿银行”等特色融资平台，用好PPP（政府和社会资本合作）、REITs（房地产信托投资基金）等成熟投融资工具，积极引导社会资本参与重点园区、国际慢城、城市更新、污水处理等基础设施和民生事业建设。深化金融创新，探索推进金牌港开发区、国际慢城、城市更新等重点区域基础设施以及优质产业项目资产证券化，通过引入房地产信托投资基金、股权投资基金、风险投资基金等创新金融工具，进一步拓宽多种形式融资渠道。</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深化国有企业改革。</w:t>
      </w:r>
      <w:r>
        <w:rPr>
          <w:rFonts w:hint="eastAsia" w:ascii="仿宋_GB2312" w:hAnsi="仿宋" w:eastAsia="仿宋_GB2312" w:cs="仿宋"/>
          <w:sz w:val="32"/>
          <w:szCs w:val="32"/>
        </w:rPr>
        <w:t>深化经营性国有资产集中统一监管，探索行政事业单位国有资产调剂共享机制，探索编制国有资源资产负债表，探索资源到资产再到资本的价值实现有效途径。深化国有企业改革，完善现代企业制度，探索政府直接授权国有资本投资、运营公司，加快建设一批本土有实力的专业国有资本投资运营公司，推进国有资本向重要领域和优势产业集中，更好地启动和盘活本地优质资源，促进产业发展和经济结构调整升级。</w:t>
      </w:r>
      <w:bookmarkStart w:id="26" w:name="_Toc45976654"/>
    </w:p>
    <w:bookmarkEnd w:id="26"/>
    <w:p>
      <w:pPr>
        <w:pStyle w:val="3"/>
        <w:spacing w:line="240" w:lineRule="auto"/>
        <w:jc w:val="center"/>
        <w:rPr>
          <w:rFonts w:ascii="楷体_GB2312" w:eastAsia="楷体_GB2312" w:cs="楷体" w:hAnsiTheme="majorEastAsia"/>
          <w:szCs w:val="32"/>
        </w:rPr>
      </w:pPr>
      <w:bookmarkStart w:id="27" w:name="_Toc64143003"/>
      <w:r>
        <w:rPr>
          <w:rFonts w:hint="eastAsia" w:ascii="楷体_GB2312" w:eastAsia="楷体_GB2312" w:cs="楷体" w:hAnsiTheme="majorEastAsia"/>
          <w:szCs w:val="32"/>
        </w:rPr>
        <w:t>第二节 完善激励创新创业的发展环境</w:t>
      </w:r>
      <w:bookmarkEnd w:id="27"/>
    </w:p>
    <w:p>
      <w:pPr>
        <w:ind w:firstLine="640"/>
        <w:rPr>
          <w:rFonts w:ascii="仿宋_GB2312" w:hAnsi="仿宋" w:eastAsia="仿宋_GB2312" w:cs="楷体"/>
          <w:sz w:val="32"/>
          <w:szCs w:val="32"/>
        </w:rPr>
      </w:pPr>
      <w:r>
        <w:rPr>
          <w:rFonts w:hint="eastAsia" w:ascii="仿宋_GB2312" w:hAnsi="仿宋" w:eastAsia="仿宋_GB2312" w:cs="楷体"/>
          <w:sz w:val="32"/>
          <w:szCs w:val="32"/>
        </w:rPr>
        <w:t>坚持将能否引进重大产业项目落地实施、能否培育出本土专精特新“小巨人”企业作为一流营商环境建设的根本标准，努力营造激励创新创业、加速成长的政策环境、制度环境和社会环境。</w:t>
      </w:r>
    </w:p>
    <w:p>
      <w:pPr>
        <w:ind w:firstLine="640"/>
        <w:rPr>
          <w:rFonts w:ascii="仿宋_GB2312" w:hAnsi="仿宋" w:eastAsia="仿宋_GB2312" w:cs="楷体"/>
          <w:sz w:val="32"/>
          <w:szCs w:val="32"/>
        </w:rPr>
      </w:pPr>
      <w:r>
        <w:rPr>
          <w:rFonts w:hint="eastAsia" w:ascii="仿宋_GB2312" w:hAnsi="楷体" w:eastAsia="仿宋_GB2312" w:cs="楷体"/>
          <w:b/>
          <w:sz w:val="32"/>
          <w:szCs w:val="32"/>
        </w:rPr>
        <w:t>实施重点产业发展激励政策。</w:t>
      </w:r>
      <w:r>
        <w:rPr>
          <w:rFonts w:hint="eastAsia" w:ascii="仿宋_GB2312" w:hAnsi="仿宋" w:eastAsia="仿宋_GB2312" w:cs="楷体"/>
          <w:sz w:val="32"/>
          <w:szCs w:val="32"/>
        </w:rPr>
        <w:t>在自由贸易港政策制度体系的框架下，依托“两港、两业、两旅、慢城”建设重点，围绕热带高效农业、农旅文旅、新型建筑、现代海洋、现代航空、数字智能、临港（空）物流、绿色循环、高端设计等重点产业，实施更加积极的产业政策，进一步加大对创新型、成长型、平台型企业的支持力度，完善产业链，配齐供应链，提升价值链，做大做强特色优势产业集群，着力增强核心经济竞争力。</w:t>
      </w:r>
    </w:p>
    <w:p>
      <w:pPr>
        <w:ind w:firstLine="640"/>
        <w:rPr>
          <w:rFonts w:ascii="仿宋" w:hAnsi="仿宋" w:eastAsia="仿宋" w:cs="楷体"/>
          <w:sz w:val="32"/>
          <w:szCs w:val="32"/>
        </w:rPr>
      </w:pPr>
      <w:r>
        <w:rPr>
          <w:rFonts w:hint="eastAsia" w:ascii="仿宋_GB2312" w:hAnsi="楷体" w:eastAsia="仿宋_GB2312" w:cs="楷体"/>
          <w:b/>
          <w:sz w:val="32"/>
          <w:szCs w:val="32"/>
        </w:rPr>
        <w:t>大力支持民营经济和中小微企业发展。</w:t>
      </w:r>
      <w:r>
        <w:rPr>
          <w:rFonts w:hint="eastAsia" w:ascii="仿宋_GB2312" w:hAnsi="仿宋" w:eastAsia="仿宋_GB2312" w:cs="仿宋"/>
          <w:sz w:val="32"/>
          <w:szCs w:val="32"/>
        </w:rPr>
        <w:t>鼓励支持引导非公有制经济发展，</w:t>
      </w:r>
      <w:r>
        <w:rPr>
          <w:rFonts w:hint="eastAsia" w:ascii="仿宋_GB2312" w:hAnsi="仿宋" w:eastAsia="仿宋_GB2312" w:cs="楷体"/>
          <w:sz w:val="32"/>
          <w:szCs w:val="32"/>
        </w:rPr>
        <w:t>大力支持中小微企业发展，加大对本土企业培育扶持力度，</w:t>
      </w:r>
      <w:r>
        <w:rPr>
          <w:rFonts w:hint="eastAsia" w:ascii="仿宋_GB2312" w:hAnsi="仿宋" w:eastAsia="仿宋_GB2312" w:cs="仿宋"/>
          <w:sz w:val="32"/>
          <w:szCs w:val="32"/>
        </w:rPr>
        <w:t>推动民营企业做大做强。</w:t>
      </w:r>
      <w:r>
        <w:rPr>
          <w:rFonts w:hint="eastAsia" w:ascii="仿宋_GB2312" w:hAnsi="仿宋" w:eastAsia="仿宋_GB2312" w:cs="楷体"/>
          <w:sz w:val="32"/>
          <w:szCs w:val="32"/>
        </w:rPr>
        <w:t>支持创新创业企业发展，加大政保贷工作力度，针对企业发展过程中遇到的问题和困难，提供全生命周期精准政策支持。深入实施“大众创业、万众创新”战略，鼓励在外地的临高籍人士回家乡创新创业，积极营造尊重劳动、尊重创新、尊重创业、宽容失败的社会氛围，为个体工商户、自由职业者和新型市场主体提供宽松的从业环境。进一步落实好纾困惠企政策，继续减税降费、减租降息，确保各项纾困措施直接惠及市场主体，积极帮助个体工商户解决租金、税费、社保、融资等方面难题，为他们提供更直接更有效的政策帮扶。</w:t>
      </w:r>
    </w:p>
    <w:p>
      <w:pPr>
        <w:pStyle w:val="3"/>
        <w:spacing w:line="240" w:lineRule="auto"/>
        <w:jc w:val="center"/>
        <w:rPr>
          <w:rFonts w:ascii="楷体_GB2312" w:eastAsia="楷体_GB2312" w:cs="楷体" w:hAnsiTheme="majorEastAsia"/>
          <w:szCs w:val="32"/>
        </w:rPr>
      </w:pPr>
      <w:bookmarkStart w:id="28" w:name="_Toc64143004"/>
      <w:r>
        <w:rPr>
          <w:rFonts w:hint="eastAsia" w:ascii="楷体_GB2312" w:eastAsia="楷体_GB2312" w:cs="楷体" w:hAnsiTheme="majorEastAsia"/>
          <w:szCs w:val="32"/>
        </w:rPr>
        <w:t>第三节 大力弘扬企业家精神</w:t>
      </w:r>
      <w:bookmarkEnd w:id="28"/>
    </w:p>
    <w:p>
      <w:pPr>
        <w:ind w:firstLine="640"/>
        <w:rPr>
          <w:rFonts w:ascii="仿宋_GB2312" w:hAnsi="仿宋" w:eastAsia="仿宋_GB2312" w:cs="楷体"/>
          <w:sz w:val="32"/>
          <w:szCs w:val="32"/>
        </w:rPr>
      </w:pPr>
      <w:r>
        <w:rPr>
          <w:rFonts w:hint="eastAsia" w:ascii="仿宋_GB2312" w:hAnsi="仿宋" w:eastAsia="仿宋_GB2312" w:cs="楷体"/>
          <w:sz w:val="32"/>
          <w:szCs w:val="32"/>
        </w:rPr>
        <w:t>进一步提高对工商企业和企业家重要性的认识，加快转变农业社会保守狭隘观念，大力激发企业家精神，加快建设一流企业。</w:t>
      </w:r>
    </w:p>
    <w:p>
      <w:pPr>
        <w:ind w:firstLine="640"/>
        <w:rPr>
          <w:rFonts w:ascii="仿宋_GB2312" w:hAnsi="仿宋" w:eastAsia="仿宋_GB2312" w:cs="楷体"/>
          <w:sz w:val="32"/>
          <w:szCs w:val="32"/>
        </w:rPr>
      </w:pPr>
      <w:r>
        <w:rPr>
          <w:rFonts w:hint="eastAsia" w:ascii="仿宋_GB2312" w:hAnsi="楷体" w:eastAsia="仿宋_GB2312" w:cs="楷体"/>
          <w:b/>
          <w:sz w:val="32"/>
          <w:szCs w:val="32"/>
        </w:rPr>
        <w:t>充分发挥企业家的模范带动作用。</w:t>
      </w:r>
      <w:r>
        <w:rPr>
          <w:rFonts w:hint="eastAsia" w:ascii="仿宋_GB2312" w:hAnsi="仿宋" w:eastAsia="仿宋_GB2312" w:cs="楷体"/>
          <w:sz w:val="32"/>
          <w:szCs w:val="32"/>
        </w:rPr>
        <w:t>加强对在临高落地实施项目的世界和中国500强企业、高成长中小企业、专精特新小巨人企业的宣传，特别是对本土成长起来的优秀企业和杰出企业家进行宣传报道，弘扬新时代临高企业家精神。引导企业家树立崇高理想信念，鼓励企业家积极参与公益慈善事业。在人大代表、政协委员人选推荐和各类评选表彰活动中，积极推荐优秀企业和企业家。依法加强对企业家和企业合法权益保护，形成长期稳定发展预期，营造激励企业家干事创业的浓厚氛围，支持企业家心无旁骛，久久为功，以恒心办恒业，扎根临高热土，推动企业不断发展壮大。</w:t>
      </w:r>
    </w:p>
    <w:p>
      <w:pPr>
        <w:ind w:firstLine="640"/>
        <w:rPr>
          <w:rFonts w:ascii="仿宋_GB2312" w:hAnsi="仿宋" w:eastAsia="仿宋_GB2312" w:cs="楷体"/>
          <w:sz w:val="32"/>
          <w:szCs w:val="32"/>
        </w:rPr>
      </w:pPr>
      <w:r>
        <w:rPr>
          <w:rFonts w:hint="eastAsia" w:ascii="仿宋_GB2312" w:hAnsi="楷体" w:eastAsia="仿宋_GB2312" w:cs="楷体"/>
          <w:b/>
          <w:sz w:val="32"/>
          <w:szCs w:val="32"/>
        </w:rPr>
        <w:t>构建新型亲清政商关系。</w:t>
      </w:r>
      <w:r>
        <w:rPr>
          <w:rFonts w:hint="eastAsia" w:ascii="仿宋_GB2312" w:hAnsi="仿宋" w:eastAsia="仿宋_GB2312" w:cs="楷体"/>
          <w:sz w:val="32"/>
          <w:szCs w:val="32"/>
        </w:rPr>
        <w:t>建立党政主要负责同志与企业家面对面协商制度，建立企业家参与涉企政策制定机制，认真听取企业家有关的意见建议。建立企业首席服务官制度，“一对一”跟踪协调解决企业发展中的困难和问题。落实容错纠错办法，营造支持改革、宽容失误、鼓励担当的良好氛围，消除党政干部与企业家建立正常工作关系的后顾之忧。营造亲商安商富商的人文环境，建立健全严格的商业腐败惩罚机制，严格查处“不作为、乱作为”和“吃拿卡要”的党员干部，让各类投资主体安心创业、放心投资。</w:t>
      </w: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专栏3  优化营商环境重点改革任务</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（一）优化营商环境工作机制</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三级书记齐抓共管，健全党委领导、政府负责、各方参与、社会监督的工作机制；制定优化营商环境中长期行动计划；建立健全各类市场主体评价反馈机制。</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（二）政府机构改革</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完善大部制、扁平化、聘任制，推动行政资源向经济发展一线前沿阵地配置；在滨海新区、波莲循环经济科技产业园和现代航空科技产业园等重点园区，探索“一区多园”管理模式和“管委会+平台公司+产业生态”运营机制。</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（三）政府职能转变</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完善“四个清单、一张网”管理模式，力争建设一批全天候智能政务服务项目；对新技术、新产业、新业态、新模式实行包容审慎监管，建立健全服务对象身份信息、财产信息和商业信息严格保密制度。</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（四）扩权强镇改革</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 xml:space="preserve">探索建立自贸港新型县镇关系，因镇施策简政放权，完善镇一级政府职能；实施城镇正向激励政策，鼓励各镇建设富民强基骨干税源工程；建立县级领导“联系分管”乡镇工作机制，完善乡镇干部考核激励机制。 </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（五）投融资机制创新</w:t>
            </w:r>
          </w:p>
        </w:tc>
      </w:tr>
      <w:tr>
        <w:tblPrEx>
          <w:tblCellMar>
            <w:top w:w="0" w:type="dxa"/>
            <w:left w:w="108" w:type="dxa"/>
            <w:bottom w:w="0" w:type="dxa"/>
            <w:right w:w="108" w:type="dxa"/>
          </w:tblCellMar>
        </w:tblPrEx>
        <w:trPr>
          <w:trHeight w:val="42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探索“专项债+社会化融资”模式，打造特色融资平台，用好PPP、REITs等成熟投融资工具，积极引导社会资本参与重点园区、国际慢城、城市更新、污水处理等基础设施建设；探索推进基础设施和优质产业项目资产证券化，稳步拓宽多种形式的产业融资渠道。</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（六）国有企业改革</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探索政府直接授权国有资本投资、运营公司，加快建设一批本土有实力的专业国有资本投资运营公司。</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（七）重点产业发展激励政策</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在自贸港政策制度体系的框架下，围绕重点产业，实施更加积极的产业政策，进一步加大对创新型、成长型、平台型企业的支持力度。</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（八）民营经济和中小微企业鼓励扶持政策</w:t>
            </w:r>
          </w:p>
        </w:tc>
      </w:tr>
      <w:tr>
        <w:tblPrEx>
          <w:tblCellMar>
            <w:top w:w="0" w:type="dxa"/>
            <w:left w:w="108" w:type="dxa"/>
            <w:bottom w:w="0" w:type="dxa"/>
            <w:right w:w="108" w:type="dxa"/>
          </w:tblCellMar>
        </w:tblPrEx>
        <w:trPr>
          <w:trHeight w:val="1248"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进一步完善促进民营经济和中小微企业发展的政策环境、服务环境和发展环境，加大政保贷工作力度，为创新创业企业提供全生命周期的精准政策支持；鼓励在外地的临高籍人士回家乡创新创业，进一步落实好纾困惠企政策，为个体工商户、自由职业者和新型市场主体提供宽松优良的从业环境。</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（九）弘扬企业家精神</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宣传临高优秀企业和企业家，保护企业和企业家合法权益，营造亲商富商安商的社会环境，激发企业家创新创业精神，加快建设一流企业。</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spacing w:line="400" w:lineRule="exact"/>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（十）构建新型亲清政商关系</w:t>
            </w:r>
          </w:p>
        </w:tc>
      </w:tr>
      <w:tr>
        <w:tblPrEx>
          <w:tblCellMar>
            <w:top w:w="0" w:type="dxa"/>
            <w:left w:w="108" w:type="dxa"/>
            <w:bottom w:w="0" w:type="dxa"/>
            <w:right w:w="108" w:type="dxa"/>
          </w:tblCellMar>
        </w:tblPrEx>
        <w:trPr>
          <w:trHeight w:val="948"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spacing w:line="400" w:lineRule="exact"/>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建立党政主要负责同志与企业家面对面协商机制；建立健全企业首席服务官制度；建立健全严格的商业腐败惩罚机制，严格查处“不作为、乱作为”和“吃拿卡要”的党员干部，让各类投资主体安心创业、放心投资。</w:t>
            </w:r>
          </w:p>
        </w:tc>
      </w:tr>
      <w:tr>
        <w:tblPrEx>
          <w:tblCellMar>
            <w:top w:w="0" w:type="dxa"/>
            <w:left w:w="108" w:type="dxa"/>
            <w:bottom w:w="0" w:type="dxa"/>
            <w:right w:w="108" w:type="dxa"/>
          </w:tblCellMar>
        </w:tblPrEx>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2"/>
        <w:spacing w:line="240" w:lineRule="auto"/>
        <w:ind w:firstLine="640" w:firstLineChars="200"/>
        <w:rPr>
          <w:rFonts w:ascii="黑体" w:hAnsi="黑体" w:eastAsia="黑体" w:cs="黑体"/>
          <w:b w:val="0"/>
          <w:bCs/>
          <w:sz w:val="32"/>
          <w:szCs w:val="32"/>
        </w:rPr>
      </w:pPr>
      <w:bookmarkStart w:id="29" w:name="_Toc26272"/>
      <w:bookmarkStart w:id="30" w:name="_Toc64143005"/>
      <w:r>
        <w:rPr>
          <w:rFonts w:hint="eastAsia" w:ascii="黑体" w:hAnsi="黑体" w:eastAsia="黑体" w:cs="黑体"/>
          <w:b w:val="0"/>
          <w:bCs/>
          <w:sz w:val="32"/>
          <w:szCs w:val="32"/>
        </w:rPr>
        <w:t xml:space="preserve">第四章 </w:t>
      </w:r>
      <w:bookmarkEnd w:id="29"/>
      <w:r>
        <w:rPr>
          <w:rFonts w:hint="eastAsia" w:ascii="黑体" w:hAnsi="黑体" w:eastAsia="黑体" w:cs="黑体"/>
          <w:b w:val="0"/>
          <w:bCs/>
          <w:sz w:val="32"/>
          <w:szCs w:val="32"/>
        </w:rPr>
        <w:t>加快构建现代经济体系，推动经济高质量发展</w:t>
      </w:r>
      <w:bookmarkEnd w:id="30"/>
    </w:p>
    <w:p>
      <w:pPr>
        <w:ind w:firstLine="648"/>
        <w:rPr>
          <w:rFonts w:ascii="仿宋_GB2312" w:hAnsi="仿宋" w:eastAsia="仿宋_GB2312" w:cs="仿宋"/>
          <w:sz w:val="32"/>
          <w:szCs w:val="32"/>
        </w:rPr>
      </w:pPr>
      <w:r>
        <w:rPr>
          <w:rFonts w:hint="eastAsia" w:ascii="仿宋_GB2312" w:hAnsi="仿宋" w:eastAsia="仿宋_GB2312" w:cs="仿宋"/>
          <w:sz w:val="32"/>
          <w:szCs w:val="32"/>
        </w:rPr>
        <w:t>立足新发展格局，积极融入“全省一盘棋、全岛同城化”，顺应全省产业布局，聚焦金牌港、儋州机场“两个项目”和热带高效农业、海洋渔业“两个产业”，做好“农旅”“文旅”融合发展文章，加快构建现代经济体系，实现更高质量发展。</w:t>
      </w:r>
    </w:p>
    <w:p>
      <w:pPr>
        <w:pStyle w:val="3"/>
        <w:spacing w:line="240" w:lineRule="auto"/>
        <w:jc w:val="center"/>
        <w:rPr>
          <w:rFonts w:ascii="楷体_GB2312" w:eastAsia="楷体_GB2312" w:cs="楷体" w:hAnsiTheme="majorEastAsia"/>
          <w:szCs w:val="32"/>
        </w:rPr>
      </w:pPr>
      <w:bookmarkStart w:id="31" w:name="_Toc64143006"/>
      <w:r>
        <w:rPr>
          <w:rFonts w:hint="eastAsia" w:ascii="楷体_GB2312" w:eastAsia="楷体_GB2312" w:cs="楷体" w:hAnsiTheme="majorEastAsia"/>
          <w:szCs w:val="32"/>
        </w:rPr>
        <w:t>第一节 全力推动金牌港开发区建设</w:t>
      </w:r>
      <w:bookmarkEnd w:id="31"/>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落实好省委、省政府关于金牌港开发区发展改革的部署要求，建立健全“平台公司+产业园区”管理运营机制，加快金牌港开发区建设发展步伐。</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加快完善基础设施和产业配套条件。</w:t>
      </w:r>
      <w:r>
        <w:rPr>
          <w:rFonts w:hint="eastAsia" w:ascii="仿宋_GB2312" w:hAnsi="仿宋" w:eastAsia="仿宋_GB2312" w:cs="楷体"/>
          <w:sz w:val="32"/>
          <w:szCs w:val="32"/>
        </w:rPr>
        <w:t>全力以赴做好重大招商引资项目入园建设的前期工作，尽快完成金牌港开发区控制性详细规划，加快推进搬迁安置和水电路气等基础设施建设，确保在重大产业项目实施前做到“七通一平”。推进金牌港开发区与“大临城”区域港产城一体化发展，在园区大力推进标准化厂房、职工宿舍等直接生产性配套设施建设，在澜江新城等区域统筹推进金融、商业、住宅和学校、医院等公共配套设施建设，为新型建筑产业发展提供一流的产业配套公共服务。</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加快推进新型建筑产业集聚发展。</w:t>
      </w:r>
      <w:r>
        <w:rPr>
          <w:rFonts w:hint="eastAsia" w:ascii="仿宋_GB2312" w:hAnsi="仿宋" w:eastAsia="仿宋_GB2312" w:cs="楷体"/>
          <w:sz w:val="32"/>
          <w:szCs w:val="32"/>
        </w:rPr>
        <w:t>用好自贸港赋予十一个重点园区的优惠政策，加快推进中铁建、江西志特等大型装配式建筑项目建设，加大招商引资力度，大力引进一批新型建筑龙头企业和重大骨干项目，加快形成以装配式建筑为代表的新型建筑工业化全产业链，集中力量将金牌港开发区打造成集系统化标准设计、构件部品工业化生产、精益化装配施工、数字化技术支撑、集成化工程总承包、全过程工程咨询和绿色环保建材研发制造于一体的新型建筑产业集聚核心区，促进装配式建筑高效优质发展。大力支持企业加强技术和产品研发，围绕强台风、高温、高湿、高盐条件下的建筑减隔震、防腐蚀、防水、遮阳等共性技术，与高等院校、科研院所合作开展联合攻关，加快制定热带区域装配式建筑技术、产品标准体系，推出热带地区装配式建筑最优化整体解决方案，打造面向东南亚、服务粤港澳大湾区的新型建筑科技研发中心。</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充分发挥新型建筑辐射带动作用。</w:t>
      </w:r>
      <w:r>
        <w:rPr>
          <w:rFonts w:hint="eastAsia" w:ascii="仿宋_GB2312" w:hAnsi="仿宋" w:eastAsia="仿宋_GB2312" w:cs="楷体"/>
          <w:sz w:val="32"/>
          <w:szCs w:val="32"/>
        </w:rPr>
        <w:t>完善新型建筑产业扶持发展政策，大力推广使用装配式建筑，积极落实容积率等已有的激励政策落地，确保到2022年底我县商品住宅实施计划项目采用装配式方式建造的比例不低于80%。积极引进高水平建筑设计商、建筑施工商，结合城市更新、项目建设、乡村振兴，推动“新型建筑+展示+民宿+旅游”等多业态融合发展，把临高打造成新型建筑产业的“样板间”和展示中心，带动会展、餐饮、购物等产业发展。推进金牌港开发区和波莲循环经济产业园联动发展，以新型建筑产业为龙头，推动建筑垃圾等固体废弃物减量化、无害化和资源化循环利用，大力发展循环经济，做大做强绿色生态环保产业。</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加快发展壮大临港产业。</w:t>
      </w:r>
      <w:r>
        <w:rPr>
          <w:rFonts w:hint="eastAsia" w:ascii="仿宋_GB2312" w:hAnsi="仿宋" w:eastAsia="仿宋_GB2312" w:cs="楷体"/>
          <w:sz w:val="32"/>
          <w:szCs w:val="32"/>
        </w:rPr>
        <w:t>依托金牌港，依托自贸港政策优势大力引进国内外行业领先的大型龙头企业，加快发展先进智能制造业和现代临港物流产业，打造若干特色临港产业集群。着力培育发展旅游装备制造业，积极引进</w:t>
      </w:r>
      <w:r>
        <w:rPr>
          <w:rFonts w:hint="eastAsia" w:ascii="仿宋_GB2312" w:hAnsi="仿宋_GB2312" w:eastAsia="仿宋_GB2312" w:cs="仿宋_GB2312"/>
          <w:sz w:val="32"/>
          <w:szCs w:val="32"/>
        </w:rPr>
        <w:t>中盈国际控股集团</w:t>
      </w:r>
      <w:r>
        <w:rPr>
          <w:rFonts w:hint="eastAsia" w:ascii="仿宋_GB2312" w:hAnsi="仿宋" w:eastAsia="仿宋_GB2312" w:cs="楷体"/>
          <w:sz w:val="32"/>
          <w:szCs w:val="32"/>
        </w:rPr>
        <w:t>等一批旅游装备制造平台型龙头企业，建设高端旅游装备科技产业园，打造以超级游艇为核心，集研发、制造、总装、交易、教育培训为一体的旅游装备总部经济。推进农渔产品加工物流产业园建设，加快布局发展农渔产品和粮油食品加工物流业骨干项目，建设农产品批发交易市场，打造面向东南亚、服务国内大市场的“农产品进出口新通道”。</w:t>
      </w:r>
    </w:p>
    <w:p>
      <w:pPr>
        <w:ind w:firstLine="640" w:firstLineChars="200"/>
        <w:rPr>
          <w:rFonts w:ascii="仿宋" w:hAnsi="仿宋" w:eastAsia="仿宋" w:cs="楷体"/>
          <w:sz w:val="32"/>
          <w:szCs w:val="32"/>
        </w:rPr>
      </w:pPr>
    </w:p>
    <w:tbl>
      <w:tblPr>
        <w:tblStyle w:val="12"/>
        <w:tblW w:w="8794" w:type="dxa"/>
        <w:jc w:val="center"/>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600" w:hRule="atLeast"/>
          <w:jc w:val="center"/>
        </w:trPr>
        <w:tc>
          <w:tcPr>
            <w:tcW w:w="8794" w:type="dxa"/>
            <w:tcBorders>
              <w:top w:val="single" w:color="auto" w:sz="4" w:space="0"/>
              <w:left w:val="single" w:color="auto" w:sz="4" w:space="0"/>
              <w:bottom w:val="nil"/>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专栏4  金牌港开发区建设重大项目  </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（一）装配式建筑</w:t>
            </w:r>
          </w:p>
        </w:tc>
      </w:tr>
      <w:tr>
        <w:tblPrEx>
          <w:tblCellMar>
            <w:top w:w="0" w:type="dxa"/>
            <w:left w:w="108" w:type="dxa"/>
            <w:bottom w:w="0" w:type="dxa"/>
            <w:right w:w="108" w:type="dxa"/>
          </w:tblCellMar>
        </w:tblPrEx>
        <w:trPr>
          <w:trHeight w:val="1560"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中铁建设集团年产10万立方米装配式产业园、江西志特年产20万立方米装配式PC构件和50万平方铝模板制造项目、康庄住工装配式建筑部件生产项目、凡林建筑科技年产12.7万立方米装配式PC构件生产基地、中建国际年产20万立方米装配式PC构件项目、北汇绿建年产7万吨装配式钢结构项目、海南东南装配式绿色建筑产业基地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（二）旅游装备科技产业园</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旅游装备总装基地、旅游装备教育与研发基地、超级游艇旅游中心、超级游艇再制造中心、旅游装备展示交易中心、旅游装备金融服务中心、旅游装备国际人才安居新城等。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（三）农渔产品加工物流产业园</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海南生态储粮与绿色粮油食品产业园、 春都肉制品深加工、农产品批发交易市场等。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（四）基础设施</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金牌港区码头、金牌东港疏港大道、金牌东港区航道、金牌西港区防波堤、金牌东港区锚地；起步区大雅路等三条路网、起步区外环路等四条路网、起步区两条道路拓宽；变电站、天然气门站及管网、污水处理厂、垃圾转运站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（五）产业配套</w:t>
            </w:r>
          </w:p>
        </w:tc>
      </w:tr>
      <w:tr>
        <w:tblPrEx>
          <w:tblCellMar>
            <w:top w:w="0" w:type="dxa"/>
            <w:left w:w="108" w:type="dxa"/>
            <w:bottom w:w="0" w:type="dxa"/>
            <w:right w:w="108" w:type="dxa"/>
          </w:tblCellMar>
        </w:tblPrEx>
        <w:trPr>
          <w:trHeight w:val="324" w:hRule="atLeast"/>
          <w:jc w:val="center"/>
        </w:trPr>
        <w:tc>
          <w:tcPr>
            <w:tcW w:w="8794" w:type="dxa"/>
            <w:tcBorders>
              <w:top w:val="nil"/>
              <w:left w:val="single" w:color="auto" w:sz="4" w:space="0"/>
              <w:bottom w:val="double" w:color="auto" w:sz="6" w:space="0"/>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企业创新孵化设施、电信局、综合服务中心、配套商业设施、人才公寓等。</w:t>
            </w:r>
          </w:p>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（六）其它临港产业项目</w:t>
            </w:r>
          </w:p>
        </w:tc>
      </w:tr>
      <w:tr>
        <w:tblPrEx>
          <w:tblCellMar>
            <w:top w:w="0" w:type="dxa"/>
            <w:left w:w="108" w:type="dxa"/>
            <w:bottom w:w="0" w:type="dxa"/>
            <w:right w:w="108" w:type="dxa"/>
          </w:tblCellMar>
        </w:tblPrEx>
        <w:trPr>
          <w:trHeight w:val="300" w:hRule="atLeast"/>
          <w:jc w:val="center"/>
        </w:trPr>
        <w:tc>
          <w:tcPr>
            <w:tcW w:w="8794"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rPr>
          <w:rFonts w:cs="楷体" w:asciiTheme="majorEastAsia" w:hAnsiTheme="majorEastAsia" w:eastAsiaTheme="majorEastAsia"/>
          <w:b/>
          <w:szCs w:val="32"/>
        </w:rPr>
      </w:pPr>
    </w:p>
    <w:p>
      <w:pPr>
        <w:pStyle w:val="3"/>
        <w:spacing w:line="240" w:lineRule="auto"/>
        <w:jc w:val="center"/>
        <w:rPr>
          <w:rFonts w:ascii="楷体_GB2312" w:eastAsia="楷体_GB2312" w:cs="楷体" w:hAnsiTheme="majorEastAsia"/>
          <w:szCs w:val="32"/>
        </w:rPr>
      </w:pPr>
      <w:bookmarkStart w:id="32" w:name="_Toc64143007"/>
      <w:r>
        <w:rPr>
          <w:rFonts w:hint="eastAsia" w:ascii="楷体_GB2312" w:eastAsia="楷体_GB2312" w:cs="楷体" w:hAnsiTheme="majorEastAsia"/>
          <w:szCs w:val="32"/>
        </w:rPr>
        <w:t>第二节 全力支持儋州机场建设</w:t>
      </w:r>
      <w:bookmarkEnd w:id="32"/>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尽心尽力做好服务工作，全力支持儋州机场建设，加快建设一流水平的海南西部空港。</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推动海南西部空港建设。</w:t>
      </w:r>
      <w:r>
        <w:rPr>
          <w:rFonts w:hint="eastAsia" w:ascii="仿宋_GB2312" w:hAnsi="仿宋" w:eastAsia="仿宋_GB2312" w:cs="楷体"/>
          <w:sz w:val="32"/>
          <w:szCs w:val="32"/>
        </w:rPr>
        <w:t>按照建设海南自贸港西部航空枢纽的标准，推动加来镇城市更新改造，加强“两新一重”重大项目建设，完善城市商业配套服务和生活服务功能，做好征地拆迁和居民安置工作，全力支持海南西部民航机场和国家航空科技产业基地建设。规划建设现代航空科技产业园，加快形成“一城一港二园一枢纽”产城港一体化发展新格局，加快培育临高南部经济增长极，努力将加来打造成航空科技产业新城和海南西部航空交通枢纽。</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大力培育发展现代航空产业。</w:t>
      </w:r>
      <w:r>
        <w:rPr>
          <w:rFonts w:hint="eastAsia" w:ascii="仿宋_GB2312" w:hAnsi="仿宋" w:eastAsia="仿宋_GB2312" w:cs="楷体"/>
          <w:sz w:val="32"/>
          <w:szCs w:val="32"/>
        </w:rPr>
        <w:t>充分利用自贸港政策优势，依托海南西部空港和国家航空产业基地项目，规划建设现代航空科技产业园，大力发展航空科技产业。深化军民航空产业合作，培育发展航空协作配套、飞机维修再制造等产业</w:t>
      </w:r>
      <w:bookmarkStart w:id="86" w:name="_GoBack"/>
      <w:bookmarkEnd w:id="86"/>
      <w:r>
        <w:rPr>
          <w:rFonts w:hint="eastAsia" w:ascii="仿宋_GB2312" w:hAnsi="仿宋" w:eastAsia="仿宋_GB2312" w:cs="楷体"/>
          <w:sz w:val="32"/>
          <w:szCs w:val="32"/>
        </w:rPr>
        <w:t>。利用航权开放、零关税等自由贸易政策，大力发展临空产业，重点发展国际航空运输中转服务、跨境电商、免税购物等临空物流产业和进口医疗器械及科研仪器维修再制造、进口料件分装加工等保税类低碳先进制造业。规划建设通用航空装备（含民用无人机）研发制造基地，积极培育航空产业新增长点。</w:t>
      </w:r>
    </w:p>
    <w:p>
      <w:pPr>
        <w:ind w:firstLine="640" w:firstLineChars="200"/>
        <w:rPr>
          <w:rFonts w:ascii="仿宋_GB2312" w:hAnsi="仿宋" w:eastAsia="仿宋_GB2312" w:cs="楷体"/>
          <w:sz w:val="32"/>
          <w:szCs w:val="32"/>
        </w:rPr>
      </w:pP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专栏5  儋州机场综合交通运输重大工程</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（一）儋州机场</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航灯光、滑行道、联络道、停机坪、机库、通信导航气象设施、综合业务楼、生活用房及其他公用设施等。</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（二）接驳公路</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新建海口至儋州高速公路、洋浦疏港高速公路，改造升级S217和S211为一级公路，新建博厚至加来一级公路、省道S211波莲至东英接县道X311。</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（三）机场巴士</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开通儋州市那大镇、临高县临城镇、洋浦经济开发区以及澄迈县金江镇与机场间的城际机场巴士专线。</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（四）客运与货运枢纽</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粤海铁路电气化改造、加来火车站、加来空港物流园等。</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（五）港产城一体化</w:t>
            </w:r>
          </w:p>
        </w:tc>
      </w:tr>
      <w:tr>
        <w:tblPrEx>
          <w:tblCellMar>
            <w:top w:w="0" w:type="dxa"/>
            <w:left w:w="108" w:type="dxa"/>
            <w:bottom w:w="0" w:type="dxa"/>
            <w:right w:w="108" w:type="dxa"/>
          </w:tblCellMar>
        </w:tblPrEx>
        <w:trPr>
          <w:trHeight w:val="2104"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提高加来城市规划建设标准，推动加来镇城市更新改造、市政设施、商业配套、生活服务设施等设施建设，做好征地拆迁和居民安置工作，规划建设现代航空科技产业园，继续实施加来农场棚户区配套基础设施工程（二期），加快形成“一城一港二园一枢纽”产城港一体化发展新格局。</w:t>
            </w:r>
          </w:p>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一城：加来航空产业科技新城；一港：海南自贸港西部空港；二园：国家航空产业基地、加来现代航空科技产业园；一枢纽：海南自贸港西部航空枢纽。</w:t>
            </w:r>
          </w:p>
        </w:tc>
      </w:tr>
    </w:tbl>
    <w:p>
      <w:pPr>
        <w:spacing w:line="480" w:lineRule="auto"/>
        <w:rPr>
          <w:rFonts w:ascii="仿宋" w:hAnsi="仿宋" w:eastAsia="仿宋" w:cs="楷体"/>
          <w:sz w:val="32"/>
          <w:szCs w:val="32"/>
        </w:rPr>
      </w:pPr>
    </w:p>
    <w:p>
      <w:pPr>
        <w:pStyle w:val="3"/>
        <w:spacing w:line="240" w:lineRule="auto"/>
        <w:jc w:val="center"/>
        <w:rPr>
          <w:rFonts w:ascii="楷体_GB2312" w:eastAsia="楷体_GB2312" w:cs="楷体" w:hAnsiTheme="majorEastAsia"/>
          <w:szCs w:val="32"/>
        </w:rPr>
      </w:pPr>
      <w:bookmarkStart w:id="33" w:name="_Toc64143008"/>
      <w:r>
        <w:rPr>
          <w:rFonts w:hint="eastAsia" w:ascii="楷体_GB2312" w:eastAsia="楷体_GB2312" w:cs="楷体" w:hAnsiTheme="majorEastAsia"/>
          <w:szCs w:val="32"/>
        </w:rPr>
        <w:t>第三节 做大做强热带高效农业</w:t>
      </w:r>
      <w:bookmarkEnd w:id="33"/>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加快现代热带特色农渔产业示范区建设，推动热带高效农业规模化、标准化、品牌化发展，加快构建现代化农业产业体系。</w:t>
      </w:r>
    </w:p>
    <w:p>
      <w:pPr>
        <w:ind w:firstLine="640"/>
        <w:rPr>
          <w:rFonts w:ascii="仿宋_GB2312" w:hAnsi="楷体" w:eastAsia="仿宋_GB2312" w:cs="仿宋"/>
          <w:sz w:val="32"/>
          <w:szCs w:val="32"/>
        </w:rPr>
      </w:pPr>
      <w:r>
        <w:rPr>
          <w:rFonts w:hint="eastAsia" w:ascii="仿宋_GB2312" w:hAnsi="楷体" w:eastAsia="仿宋_GB2312" w:cs="仿宋"/>
          <w:b/>
          <w:sz w:val="32"/>
          <w:szCs w:val="32"/>
        </w:rPr>
        <w:t>加强农业综合生产能力建设。</w:t>
      </w:r>
      <w:r>
        <w:rPr>
          <w:rFonts w:hint="eastAsia" w:ascii="仿宋_GB2312" w:hAnsi="仿宋" w:eastAsia="仿宋_GB2312" w:cs="仿宋"/>
          <w:sz w:val="32"/>
          <w:szCs w:val="32"/>
        </w:rPr>
        <w:t>实行最严格的耕地保护制度，进一步完善政策支持体系，加快推进水稻生产功能区和天然橡胶生产保护区建设。落实政府主体责任，强化监督考核，继续推进农村土地整治和高标准农田建设，稳步提升耕地质量，狠抓粮食生产，确保粮食安全。加强农田水利基本建设，建成松涛灌区续建配套与现代化改造（临高片）工程，持续推进松涛灌区（临高片）末级渠系配套建设及维修养护，建设一批水坡与太阳能提灌站和农业取水口用量监测点工程，下力气解决好田间灌溉排涝“最后一百米”问题。</w:t>
      </w:r>
    </w:p>
    <w:p>
      <w:pPr>
        <w:ind w:firstLine="640"/>
        <w:rPr>
          <w:rFonts w:ascii="仿宋_GB2312" w:hAnsi="仿宋" w:eastAsia="仿宋_GB2312" w:cs="仿宋"/>
          <w:sz w:val="32"/>
          <w:szCs w:val="32"/>
        </w:rPr>
      </w:pPr>
      <w:r>
        <w:rPr>
          <w:rFonts w:hint="eastAsia" w:ascii="仿宋_GB2312" w:hAnsi="楷体" w:eastAsia="仿宋_GB2312" w:cs="仿宋"/>
          <w:b/>
          <w:sz w:val="32"/>
          <w:szCs w:val="32"/>
        </w:rPr>
        <w:t>大力推进热带高效农业规模化、标准化和品牌化建设。</w:t>
      </w:r>
      <w:r>
        <w:rPr>
          <w:rFonts w:hint="eastAsia" w:ascii="仿宋_GB2312" w:hAnsi="仿宋" w:eastAsia="仿宋_GB2312" w:cs="仿宋"/>
          <w:sz w:val="32"/>
          <w:szCs w:val="32"/>
        </w:rPr>
        <w:t>持续深化农业供给侧结构性改革，优化农产品结构，大幅消减纸浆林、小叶桉林等低端低效产业。充分发挥农业产业化龙头企业引领带动作用，积极引进效益高、市场好的新品种，逐步扩大冬季瓜菜种植规模，大力发展壮大热带水果、花卉、种苗、水稻制种等特色高效产业，做好橡胶、槟榔和乡土珍稀树种种植，建设一批规模化、标准化、品牌化农业产业基地，千方百计做大做强热带高效农业规模。深化品牌农业创建工程，着力打响临高金鲳鱼、临高乳猪、临高凤梨、多文空心菜、荔粒红、驰枣开芯、临机蜜乡、龙戏火、知心薯、名芋良等十大特色农业品牌，大力提升品牌农业影响力。</w:t>
      </w:r>
    </w:p>
    <w:p>
      <w:pPr>
        <w:ind w:firstLine="640"/>
        <w:rPr>
          <w:rFonts w:ascii="仿宋_GB2312" w:hAnsi="仿宋" w:eastAsia="仿宋_GB2312" w:cs="仿宋"/>
          <w:sz w:val="32"/>
          <w:szCs w:val="32"/>
        </w:rPr>
      </w:pPr>
      <w:r>
        <w:rPr>
          <w:rFonts w:hint="eastAsia" w:ascii="仿宋_GB2312" w:hAnsi="仿宋" w:eastAsia="仿宋_GB2312" w:cs="仿宋"/>
          <w:b/>
          <w:sz w:val="32"/>
          <w:szCs w:val="32"/>
        </w:rPr>
        <w:t>加快发展优势特色畜牧业。</w:t>
      </w:r>
      <w:r>
        <w:rPr>
          <w:rFonts w:hint="eastAsia" w:ascii="仿宋_GB2312" w:hAnsi="仿宋" w:eastAsia="仿宋_GB2312" w:cs="仿宋"/>
          <w:sz w:val="32"/>
          <w:szCs w:val="32"/>
        </w:rPr>
        <w:t>进一步打响临高乳猪品牌，大力引进社会资本，加大产业扶持力度，推动临高乳猪规模化、标准化、产业化发展，着力打造集良种繁育、乳猪养殖、精深加工、冷链物流及销售渠道为一体的临高乳猪全产业链，到2025年实现临高乳猪年出栏量达到100万头，努力建成全省最大的乳猪加工、出口基地。积极推进临高黑猪、临高本地牛羊等特色畜牧业发展，到2025年实现全县生猪出栏量36万头以上、本地黑山羊出栏量3.6万头以上、本地牛出栏量1.4万头以上、“三鸟”年出栏400万羽以上，夯实临高农业主产区地位。</w:t>
      </w:r>
    </w:p>
    <w:p>
      <w:pPr>
        <w:ind w:firstLine="640"/>
        <w:rPr>
          <w:rFonts w:ascii="仿宋_GB2312" w:hAnsi="仿宋" w:eastAsia="仿宋_GB2312" w:cs="仿宋"/>
          <w:sz w:val="32"/>
          <w:szCs w:val="32"/>
        </w:rPr>
      </w:pPr>
      <w:r>
        <w:rPr>
          <w:rFonts w:hint="eastAsia" w:ascii="仿宋_GB2312" w:hAnsi="楷体" w:eastAsia="仿宋_GB2312" w:cs="仿宋"/>
          <w:b/>
          <w:sz w:val="32"/>
          <w:szCs w:val="32"/>
        </w:rPr>
        <w:t>着力拉长农业产业链条。</w:t>
      </w:r>
      <w:r>
        <w:rPr>
          <w:rFonts w:hint="eastAsia" w:ascii="仿宋_GB2312" w:hAnsi="仿宋" w:eastAsia="仿宋_GB2312" w:cs="仿宋"/>
          <w:sz w:val="32"/>
          <w:szCs w:val="32"/>
        </w:rPr>
        <w:t>紧紧抓好农业良种良苗、市场销售两个关键端口，加快发展农副产品加工、冷链物流等中间增值产业，构建农业种苗、生产、流通、市场环节协同发展格局，做全产业链，贯通流通链，提升价值链，着力提高农业产业综合经济效益。推动金牌港农产品加工物流集散基地建设，加快构建县、镇、村三级农产品运销实体网络和农村电商服务体系，畅通生产、加工、物流、市场渠道，解决农产品销售难的问题。实施热带农业种苗工程，积极引进热带农林牧渔种苗科技研发机构和行业龙头企业，重点发展海洋渔业、临高乳猪、景观林木、珍稀树种、传统南药、热带花卉、芳香类植物等种苗产业，建设一批热带农业种苗繁育供应基地，努力将良种良苗产业培育成临高新的经济增长点。推进品牌农业种苗、生产、储运、加工、销售全产业链建设，集中力量建设临高金鲳鱼、临高乳猪、临高凤梨、冬季瓜菜等全产业链，着力培育发展一批十亿级品牌农业大产业。</w:t>
      </w:r>
    </w:p>
    <w:p>
      <w:pPr>
        <w:ind w:firstLine="640"/>
        <w:rPr>
          <w:rFonts w:ascii="仿宋_GB2312" w:hAnsi="仿宋" w:eastAsia="仿宋_GB2312" w:cs="仿宋"/>
          <w:sz w:val="32"/>
          <w:szCs w:val="32"/>
        </w:rPr>
      </w:pPr>
      <w:r>
        <w:rPr>
          <w:rFonts w:hint="eastAsia" w:ascii="仿宋_GB2312" w:hAnsi="楷体" w:eastAsia="仿宋_GB2312" w:cs="仿宋"/>
          <w:b/>
          <w:sz w:val="32"/>
          <w:szCs w:val="32"/>
        </w:rPr>
        <w:t>加快实施农业融合发展战略。</w:t>
      </w:r>
      <w:r>
        <w:rPr>
          <w:rFonts w:hint="eastAsia" w:ascii="仿宋_GB2312" w:hAnsi="仿宋" w:eastAsia="仿宋_GB2312" w:cs="仿宋"/>
          <w:sz w:val="32"/>
          <w:szCs w:val="32"/>
        </w:rPr>
        <w:t>大力发展生态循环农业，推广多种形式的循环经济种养模式，推动农林牧渔深度融合、循环接续、清洁生产、复式发展，着力提升设施农业、有机农业、节水农业、林下经济发展水平。推进农旅融合发展，依托高质量品牌农业基地，着力打造一批能够常年接待游客的美丽乡村和共享农庄等农旅融合发展平台，积极发展观光农业、农事体验、客栈驿站、高档民宿等新业态，大力拓展农业产业功能。</w:t>
      </w:r>
    </w:p>
    <w:p>
      <w:pPr>
        <w:keepNext/>
        <w:keepLines/>
        <w:spacing w:before="260" w:after="260"/>
        <w:jc w:val="center"/>
        <w:outlineLvl w:val="1"/>
        <w:rPr>
          <w:rFonts w:ascii="楷体_GB2312" w:eastAsia="楷体_GB2312" w:cs="仿宋" w:hAnsiTheme="majorEastAsia"/>
          <w:b/>
          <w:sz w:val="32"/>
          <w:szCs w:val="32"/>
        </w:rPr>
      </w:pPr>
      <w:bookmarkStart w:id="34" w:name="_Toc64143009"/>
      <w:r>
        <w:rPr>
          <w:rFonts w:hint="eastAsia" w:ascii="楷体_GB2312" w:eastAsia="楷体_GB2312" w:cs="仿宋" w:hAnsiTheme="majorEastAsia"/>
          <w:b/>
          <w:sz w:val="32"/>
          <w:szCs w:val="32"/>
        </w:rPr>
        <w:t>第四节 推动海洋渔业转型升级</w:t>
      </w:r>
      <w:bookmarkEnd w:id="34"/>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托临高北部沿海渔港港群优势，借力自贸港政策，创新耕海牧渔新模式，突破传统外出捕鱼生产方式，大力发展现代海洋渔业，加快建设现代海洋渔业转型发展示范区，推动临高由海洋渔业大县向海洋经济强县转型。</w:t>
      </w:r>
    </w:p>
    <w:p>
      <w:pPr>
        <w:ind w:firstLine="629" w:firstLineChars="196"/>
        <w:rPr>
          <w:rFonts w:ascii="仿宋_GB2312" w:hAnsi="仿宋" w:eastAsia="仿宋_GB2312" w:cs="仿宋"/>
          <w:sz w:val="32"/>
          <w:szCs w:val="32"/>
        </w:rPr>
      </w:pPr>
      <w:r>
        <w:rPr>
          <w:rFonts w:hint="eastAsia" w:ascii="仿宋_GB2312" w:hAnsi="楷体" w:eastAsia="仿宋_GB2312" w:cs="仿宋"/>
          <w:b/>
          <w:sz w:val="32"/>
          <w:szCs w:val="32"/>
        </w:rPr>
        <w:t>建设新调国际渔港经济区。</w:t>
      </w:r>
      <w:r>
        <w:rPr>
          <w:rFonts w:hint="eastAsia" w:ascii="仿宋_GB2312" w:hAnsi="仿宋" w:eastAsia="仿宋_GB2312" w:cs="仿宋"/>
          <w:sz w:val="32"/>
          <w:szCs w:val="32"/>
        </w:rPr>
        <w:t>依托新盈国家中心渔港、武莲国家一级渔港，规划建设现代国际渔港经济区，着力打造以渔港为龙头、城镇为依托、渔业为基础，集渔船避风补给、鱼货交易、冷链物流、精深加工、休闲渔业和国际活鱼、海洋产品、海洋相关产品市场交易、跨境结算、跨境电商等为一体面向东南亚的现代海洋渔业综合体和国际渔港经济自由贸易区。规划建设现代海洋渔业科技产业园，积极引进海洋渔业关联龙头企业，加快发展高效养殖食料、钓鱼铒料、海洋功能食品、海洋药物和海洋生物产品等产业，加快培育和发展海洋渔业先进装备研发制造业，重点发展陆基循环水生态养殖设备、沉浮式深海养殖网箱、养殖工船、活鱼运输船、活鱼运输集装箱、远洋捕捞加工船等大型数字化智能装备制造业以及相关的产业软件系统的研发和生产。</w:t>
      </w:r>
    </w:p>
    <w:p>
      <w:pPr>
        <w:ind w:firstLine="629" w:firstLineChars="196"/>
        <w:rPr>
          <w:rFonts w:ascii="仿宋_GB2312" w:hAnsi="仿宋" w:eastAsia="仿宋_GB2312" w:cs="仿宋"/>
          <w:sz w:val="32"/>
          <w:szCs w:val="32"/>
        </w:rPr>
      </w:pPr>
      <w:r>
        <w:rPr>
          <w:rFonts w:hint="eastAsia" w:ascii="仿宋_GB2312" w:hAnsi="楷体" w:eastAsia="仿宋_GB2312" w:cs="仿宋"/>
          <w:b/>
          <w:sz w:val="32"/>
          <w:szCs w:val="32"/>
        </w:rPr>
        <w:t>建设新调海港渔业休闲带。</w:t>
      </w:r>
      <w:r>
        <w:rPr>
          <w:rFonts w:hint="eastAsia" w:ascii="仿宋_GB2312" w:hAnsi="仿宋" w:eastAsia="仿宋_GB2312" w:cs="仿宋"/>
          <w:sz w:val="32"/>
          <w:szCs w:val="32"/>
        </w:rPr>
        <w:t>推进黄龙大道、环岛旅游公路新盈调楼段、后水湾彩桥红树林湿地公园、沿海渔港群双功能（服务海洋渔业和休闲渔业）改造等重大基础设施工程建设，着力提升休闲渔业发展环境。发挥渔港经济辐射带动作用，以全域土地综合整治为抓手，对新盈、调楼镇区进行国际化休闲渔业文化旅游改造，推动新盈渔人码头建设，提升美丽渔村建设水平，加快发展渔事体验、赶海、海钓、餐饮、民宿、购物、休闲、娱乐等产业，着力打造哩哩美耕海牧渔文化旅游品牌。加快头洋湾国家海洋牧场建设，推动东英休闲渔业示范区建设，推进新盈调楼海港渔业休闲带与东英国际慢城联动发展，共同打造滨海国际慢城休闲体验区。</w:t>
      </w:r>
    </w:p>
    <w:p>
      <w:pPr>
        <w:ind w:firstLine="629" w:firstLineChars="196"/>
        <w:rPr>
          <w:rFonts w:ascii="仿宋_GB2312" w:hAnsi="仿宋" w:eastAsia="仿宋_GB2312" w:cs="仿宋"/>
          <w:sz w:val="32"/>
          <w:szCs w:val="32"/>
        </w:rPr>
      </w:pPr>
      <w:r>
        <w:rPr>
          <w:rFonts w:hint="eastAsia" w:ascii="仿宋_GB2312" w:hAnsi="楷体" w:eastAsia="仿宋_GB2312" w:cs="仿宋"/>
          <w:b/>
          <w:sz w:val="32"/>
          <w:szCs w:val="32"/>
        </w:rPr>
        <w:t>大力发展工厂化生态养殖业。</w:t>
      </w:r>
      <w:r>
        <w:rPr>
          <w:rFonts w:hint="eastAsia" w:ascii="仿宋_GB2312" w:hAnsi="仿宋" w:eastAsia="仿宋_GB2312" w:cs="仿宋"/>
          <w:sz w:val="32"/>
          <w:szCs w:val="32"/>
        </w:rPr>
        <w:t>规范提升海水养殖业，严格实施近海水产养殖分区管控制度，清理整顿非法及不合规近岸海水养殖项目，编制深海远海养殖海域使用规划，合理布局海水养殖区和控制养殖密度，进一步保护和改善近远海海域生态环境，推动海水养殖业可持续发展。推进头洋湾国家海洋牧场建设，加大人工鱼礁建设和增殖放流力度，保护和修复海洋渔业生态环境。充分发挥龙头企业引领带动作用，支持宝路水产公司建设亚洲最大的罗非鱼苗育种基地，支持海丰公司、林虾集团发展工厂化、智能化水产养殖业，进一步做大做强水产养殖业。积极拓展离岸深远海养殖空间，重点发展新盈后水湾和博厚马袅湾深远海网箱养殖业，探索发展海上活鱼运输和增值育肥等高端养殖业，探索推进陆基循环水生态型工厂化养殖基地建设。大力提升深远海网箱养殖业科技含量和绿色发展水平，推动海水养殖业高质量发展，实现海水养殖产量和效益再上新台阶。</w:t>
      </w:r>
    </w:p>
    <w:p>
      <w:pPr>
        <w:ind w:firstLine="629" w:firstLineChars="196"/>
        <w:rPr>
          <w:rFonts w:ascii="仿宋_GB2312" w:hAnsi="仿宋" w:eastAsia="仿宋_GB2312" w:cs="仿宋"/>
          <w:sz w:val="32"/>
          <w:szCs w:val="32"/>
        </w:rPr>
      </w:pPr>
      <w:r>
        <w:rPr>
          <w:rFonts w:hint="eastAsia" w:ascii="仿宋_GB2312" w:hAnsi="楷体" w:eastAsia="仿宋_GB2312" w:cs="仿宋"/>
          <w:b/>
          <w:sz w:val="32"/>
          <w:szCs w:val="32"/>
        </w:rPr>
        <w:t>加快海洋捕捞业转型步伐。</w:t>
      </w:r>
      <w:r>
        <w:rPr>
          <w:rFonts w:hint="eastAsia" w:ascii="仿宋_GB2312" w:hAnsi="楷体" w:eastAsia="仿宋_GB2312" w:cs="仿宋"/>
          <w:sz w:val="32"/>
          <w:szCs w:val="32"/>
        </w:rPr>
        <w:t>改善和修复渔业生态环境资源</w:t>
      </w:r>
      <w:r>
        <w:rPr>
          <w:rFonts w:hint="eastAsia" w:ascii="仿宋_GB2312" w:hAnsi="仿宋" w:eastAsia="仿宋_GB2312" w:cs="仿宋"/>
          <w:sz w:val="32"/>
          <w:szCs w:val="32"/>
        </w:rPr>
        <w:t>，严格控制近海捕捞强度,有序扩大外海捕捞，加大淘汰三无渔船和落后捕捞装备力度，鼓励大型新能源清洁能源动力捕捞船舶替代中小型传统燃油捕捞船，加快捕捞装备绿色化、数字化、智能化改造升级，支持组建现代海洋渔业公司，提高渔船建设与渔业管理现代化水平。加快休闲渔业基础设施建设，推动实施鼓励休闲渔业发展的奖补政策，支持将退役渔船改造为休闲渔船，鼓励建造新能源清洁能源休闲渔船，积极引导捕捞业渔民转岗转业发展休闲渔业。加强海水养殖职业技能培训，引导捕捞业渔民转向深远海网箱养殖业和养殖技术劳务输出，让捕捞渔民“往岸上走、往深海走、往休闲渔业走”，让养殖户“往生态走、往旅游走”。</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加快建设海洋渔业全产业链。</w:t>
      </w:r>
      <w:r>
        <w:rPr>
          <w:rFonts w:hint="eastAsia" w:ascii="仿宋_GB2312" w:hAnsi="仿宋" w:eastAsia="仿宋_GB2312" w:cs="仿宋"/>
          <w:sz w:val="32"/>
          <w:szCs w:val="32"/>
        </w:rPr>
        <w:t>加大对本土海洋渔业龙头企业支持力度，加快补齐水产业养殖种苗繁育、高功能饲料、新一代海产品加工、现代化冷链物流仓储系统、海洋渔业先进智能装备制造等产业链短板，推进海洋渔业科技研发、市场销售、教育培训、科技服务等项目建设，加快建设海洋渔业全产业链，增强对海洋渔业产业链、供应链的掌控力，持续保持临高金鲳鱼深海网箱养殖产业亚洲第一的龙头地位。</w:t>
      </w: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专栏6  现代热带特色农渔产业示范区建设重大工程  </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（一）高标准农田建设</w:t>
            </w:r>
          </w:p>
        </w:tc>
      </w:tr>
      <w:tr>
        <w:tblPrEx>
          <w:tblCellMar>
            <w:top w:w="0" w:type="dxa"/>
            <w:left w:w="108" w:type="dxa"/>
            <w:bottom w:w="0" w:type="dxa"/>
            <w:right w:w="108" w:type="dxa"/>
          </w:tblCellMar>
        </w:tblPrEx>
        <w:trPr>
          <w:trHeight w:val="1560"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设临城镇龙跃、调俗、博厚镇和客、马袅居、多文镇美巢、马排、和舍镇罗爷、皇桐镇美香、加来镇美舟、波莲镇带昆、东英镇官洋等田洋高标准农田8万亩；推进松涛灌区临高片区续建配套现代化改造、末级渠系维修养护等重大农田水利基础建设，实施皇桐镇和正村和美堂村旱改水等工程；推进调楼镇东春村、皇桐镇六勺村、中林村等土地开发整理。</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（二）农业“三化”建设</w:t>
            </w:r>
          </w:p>
        </w:tc>
      </w:tr>
      <w:tr>
        <w:tblPrEx>
          <w:tblCellMar>
            <w:top w:w="0" w:type="dxa"/>
            <w:left w:w="108" w:type="dxa"/>
            <w:bottom w:w="0" w:type="dxa"/>
            <w:right w:w="108" w:type="dxa"/>
          </w:tblCellMar>
        </w:tblPrEx>
        <w:trPr>
          <w:trHeight w:val="42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调整优化农业结构，加快建设一批规模化、标准化农业产业基地，着力打响临高金鲳鱼、临高乳猪、临高凤梨、多文空心菜、“荔粒红”、“驰枣开芯”、“临机蜜乡”、“龙戏火”、“知心薯”、“名芋良”等特色农业品牌，重点推进新希望6000头种猪养殖基地、10000亩新品种五粮科技示范基地、8000亩水稻高产优质科技示范基地、10000亩大棚蔬菜产业园等项目建设。</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（三）农业产业链建设</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ind w:firstLine="468"/>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推进宝路水产罗非鱼苗育种基地、金牌港农产品加工物流园等重大项目建设，集中力量建设临高金鲳鱼、临高乳猪、临高凤梨、冬季瓜菜等全产业链，着力培育发展一批十亿级品牌农业大产业。</w:t>
            </w:r>
          </w:p>
          <w:p>
            <w:pPr>
              <w:widowControl/>
              <w:ind w:firstLine="468"/>
              <w:jc w:val="left"/>
              <w:rPr>
                <w:rFonts w:ascii="楷体_GB2312" w:hAnsi="楷体" w:eastAsia="楷体_GB2312" w:cs="宋体"/>
                <w:kern w:val="0"/>
                <w:sz w:val="24"/>
                <w:szCs w:val="24"/>
              </w:rPr>
            </w:pPr>
            <w:r>
              <w:rPr>
                <w:rFonts w:hint="eastAsia" w:ascii="楷体_GB2312" w:hAnsi="楷体" w:eastAsia="楷体_GB2312" w:cs="宋体"/>
                <w:kern w:val="0"/>
                <w:sz w:val="24"/>
                <w:szCs w:val="24"/>
              </w:rPr>
              <w:t>（四）优势畜牧业发展</w:t>
            </w:r>
          </w:p>
          <w:p>
            <w:pPr>
              <w:widowControl/>
              <w:ind w:firstLine="468"/>
              <w:jc w:val="left"/>
              <w:rPr>
                <w:rFonts w:ascii="仿宋_GB2312" w:hAnsi="楷体" w:eastAsia="仿宋_GB2312" w:cs="宋体"/>
                <w:color w:val="000000"/>
                <w:kern w:val="0"/>
                <w:sz w:val="24"/>
                <w:szCs w:val="24"/>
              </w:rPr>
            </w:pPr>
            <w:r>
              <w:rPr>
                <w:rFonts w:hint="eastAsia" w:ascii="仿宋_GB2312" w:hAnsi="楷体" w:eastAsia="仿宋_GB2312" w:cs="宋体"/>
                <w:kern w:val="0"/>
                <w:sz w:val="24"/>
                <w:szCs w:val="24"/>
              </w:rPr>
              <w:t>推动临高乳猪规模化、标准化、产业化发展，到2025年实现全县临高乳猪年出栏量达到100万头，努力建成全省最大的乳猪加工、出口基地。积极推进临高黑猪、临高本地牛羊等特色畜牧业发展，到2025年实现全县生猪出栏量36万头以上、本地黑山羊出栏量3.6万头以上、本地牛出栏量1.4万头以上、“三鸟”年出栏400万羽以上。</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（五）农业融合发展</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农业内部融合，重点发展循环农业、设施农业、有机农业、节水农业、林下经济等复合式农业发展模式和业态；农村一二三产跨界融合，重点发展观光农业、农事体验、客栈驿站、高档民宿等新业态，积极发展多种形式“互联网+农业”。</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（六）海水养殖提质增效</w:t>
            </w:r>
          </w:p>
        </w:tc>
      </w:tr>
      <w:tr>
        <w:tblPrEx>
          <w:tblCellMar>
            <w:top w:w="0" w:type="dxa"/>
            <w:left w:w="108" w:type="dxa"/>
            <w:bottom w:w="0" w:type="dxa"/>
            <w:right w:w="108" w:type="dxa"/>
          </w:tblCellMar>
        </w:tblPrEx>
        <w:trPr>
          <w:trHeight w:val="1248"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推进头洋湾国家海洋牧场建设，提升后水湾和马袅湾两大离岸深海网箱养殖基地建设水平，探索建设陆基循环水工厂化养殖基地，探索发展海上活鱼运输和增值育肥等高端养殖业，支持海丰公司、林虾集团等龙头企业进一步做大做强，推动海水养殖业再创辉煌。</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（七）海洋捕捞转型升级</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加快清理淘汰三无渔船和落后捕捞装备，支持组建现代海洋渔业公司，</w:t>
            </w:r>
            <w:r>
              <w:rPr>
                <w:rFonts w:hint="eastAsia" w:ascii="仿宋_GB2312" w:hAnsi="楷体" w:eastAsia="仿宋_GB2312" w:cs="宋体"/>
                <w:kern w:val="0"/>
                <w:sz w:val="24"/>
                <w:szCs w:val="24"/>
              </w:rPr>
              <w:t>引领海洋捕捞业向外海和远洋方向发展，</w:t>
            </w:r>
            <w:r>
              <w:rPr>
                <w:rFonts w:hint="eastAsia" w:ascii="仿宋_GB2312" w:hAnsi="楷体" w:eastAsia="仿宋_GB2312" w:cs="宋体"/>
                <w:color w:val="000000"/>
                <w:kern w:val="0"/>
                <w:sz w:val="24"/>
                <w:szCs w:val="24"/>
              </w:rPr>
              <w:t>加强渔民职业技能培训，鼓励支持引导捕捞业渔民转产转业。</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（八）新调国际渔港经济区建设</w:t>
            </w:r>
          </w:p>
        </w:tc>
      </w:tr>
      <w:tr>
        <w:tblPrEx>
          <w:tblCellMar>
            <w:top w:w="0" w:type="dxa"/>
            <w:left w:w="108" w:type="dxa"/>
            <w:bottom w:w="0" w:type="dxa"/>
            <w:right w:w="108" w:type="dxa"/>
          </w:tblCellMar>
        </w:tblPrEx>
        <w:trPr>
          <w:trHeight w:val="1560"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着力打造现代海洋渔业综合体和国际渔港经济自由贸易区，重点推进新盈-调楼渔港升级改造、美夏二级渔港升级改造、黄龙二级渔港升级改造、黄龙避风锚地升级改造、南海渔业综合补给中心、新盈港水产物流交易中心、黄龙后港区水产物流交易中心等重大项目建设，规划建设现代海洋渔业科技产业园，争取将新调国际渔港经济区列入国家支持的重大项目。</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（九）新调海港渔业休闲带建设</w:t>
            </w:r>
          </w:p>
        </w:tc>
      </w:tr>
      <w:tr>
        <w:tblPrEx>
          <w:tblCellMar>
            <w:top w:w="0" w:type="dxa"/>
            <w:left w:w="108" w:type="dxa"/>
            <w:bottom w:w="0" w:type="dxa"/>
            <w:right w:w="108" w:type="dxa"/>
          </w:tblCellMar>
        </w:tblPrEx>
        <w:trPr>
          <w:trHeight w:val="107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以全域土地综合整治为抓手，建设新盈渔人码头，对镇区实施国际化休闲渔业文化旅游改造，推进黄龙大道及波莲G98高速互通、环岛旅游公路新盈调楼段、后水湾新盈彩桥红树林湿地公园等重大项目建设。</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center"/>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（十）东英休闲渔业示范区建设</w:t>
            </w:r>
          </w:p>
        </w:tc>
      </w:tr>
      <w:tr>
        <w:tblPrEx>
          <w:tblCellMar>
            <w:top w:w="0" w:type="dxa"/>
            <w:left w:w="108" w:type="dxa"/>
            <w:bottom w:w="0" w:type="dxa"/>
            <w:right w:w="108" w:type="dxa"/>
          </w:tblCellMar>
        </w:tblPrEx>
        <w:trPr>
          <w:trHeight w:val="1093"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与国际慢城联动建设，推进东英镇海岸防风林带后腹地休闲渔业基地建设，建设美夏休闲渔业码头、渔文化博物馆、公共休闲海滩公园等项目，争取将东英休闲渔业示范区列入国家支持的重大项目。</w:t>
            </w:r>
          </w:p>
        </w:tc>
      </w:tr>
      <w:tr>
        <w:tblPrEx>
          <w:tblCellMar>
            <w:top w:w="0" w:type="dxa"/>
            <w:left w:w="108" w:type="dxa"/>
            <w:bottom w:w="0" w:type="dxa"/>
            <w:right w:w="108" w:type="dxa"/>
          </w:tblCellMar>
        </w:tblPrEx>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3"/>
        <w:spacing w:line="240" w:lineRule="auto"/>
        <w:jc w:val="center"/>
        <w:rPr>
          <w:rFonts w:ascii="楷体_GB2312" w:eastAsia="楷体_GB2312" w:cs="楷体" w:hAnsiTheme="majorEastAsia"/>
          <w:szCs w:val="32"/>
        </w:rPr>
      </w:pPr>
      <w:bookmarkStart w:id="35" w:name="_Toc64143010"/>
      <w:r>
        <w:rPr>
          <w:rFonts w:hint="eastAsia" w:ascii="楷体_GB2312" w:eastAsia="楷体_GB2312" w:cs="楷体" w:hAnsiTheme="majorEastAsia"/>
          <w:szCs w:val="32"/>
        </w:rPr>
        <w:t>第五节 以农旅文旅为抓手加快旅游业发展</w:t>
      </w:r>
      <w:bookmarkEnd w:id="35"/>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立足临高独特资源优势，做足做好“农旅”“文旅”融合文章，推动旅游业提档升级，积极助力海南国际旅游消费中心建设。</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高水平规划建设国际慢城。</w:t>
      </w:r>
      <w:r>
        <w:rPr>
          <w:rFonts w:hint="eastAsia" w:ascii="仿宋_GB2312" w:hAnsi="仿宋" w:eastAsia="仿宋_GB2312" w:cs="楷体"/>
          <w:sz w:val="32"/>
          <w:szCs w:val="32"/>
        </w:rPr>
        <w:t>依托东英镇14公里原生态海岸线珍稀资源环境优势，突出山海地域文化特色，按照生态优先、文化传承、产业融合的原则，高水平规划建设东英国际慢城，构建“一带一廊两区三心四节点”的“T型”慢城布局结构，建设以山海生态为基底、滨海体验为特色、国际设计为内核的山海创意国际慢城，着力打造临高慢文化客厅、山海慢生活福地和国际慢设计海岸，形成与国际时尚慢文化直接接轨的高能级产业开放发展平台，引领带动滨海国际慢城休闲体验区建设，构建以慢生活、慢运动、慢文化等为主题的全域旅游产业体系，把临高打造成海南自由贸易港慢生活、绿色消费和生态旅游目的地。</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推进重大标志性旅游工程建设。</w:t>
      </w:r>
      <w:r>
        <w:rPr>
          <w:rFonts w:hint="eastAsia" w:ascii="仿宋_GB2312" w:hAnsi="仿宋" w:eastAsia="仿宋_GB2312" w:cs="楷体"/>
          <w:sz w:val="32"/>
          <w:szCs w:val="32"/>
        </w:rPr>
        <w:t>集中力量推进东英国际慢城建设，规划建设美夏港游艇码头，以国际设计产业为核心推动农业、渔业提档升级，推动民俗、工艺传承创新，推动高档民宿、慢文化品牌形象树立，推动临高进入国际开放前沿地带，推进东英国际慢城与新调海港渔业休闲带联动发展，形成对全域“农旅、文旅”融合发展的示范、辐射和带动作用，打造以慢生活、慢运动、慢旅游为主题的临高国际慢城之旅高端旅游品牌。加快推进临高角海南解放公园升级改造，完善景区周边基础设施、商业配套和环境建设，推动海南解放公园创建4A级旅游景区，打造全国红色旅游经典景区。推进后水湾彩桥红树林湿地公园建设，正确处理严格保护与合理利用的关系，建设红树林生态保护核心区、缓冲区、隔离带和湿地文化科普教育展示区，推进彩桥美丽乡村建设，规划建设休闲渔业文化广场，打造以红树林海洋动植物保护和休闲渔业为主题的湿地公园，策划举办哩哩美耕海牧渔文化节，唱响临高哩哩美耕海牧渔文化旅游品牌。推动临高居仁瀑布、百仞滩等“古八景”提升改造，保护和修复孔庙、高山岭、王佐故居等历史文化遗迹，充分挖掘“哩哩美”“人偶戏”等地域特色文化，提升历史文化现代旅游价值和对周边景区景点的影响辐射作用，大力增强地域文化旅游吸引力和竞争力，着力将居仁瀑布打造成3A级景区，成为宜居宜游美丽乡村建设新标杆。推进临高通用航空机场建设，加快建设机场跑道、航站楼和通航博物馆、通航文旅主题公园等重大项目，积极培育发展通用航空旅游业，策划举办国际通用航空博览会、嘉年华等重大活动，打造通用航空国际会展品牌。</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着力打造农旅文旅融合发展新平台新业态。</w:t>
      </w:r>
      <w:r>
        <w:rPr>
          <w:rFonts w:hint="eastAsia" w:ascii="仿宋_GB2312" w:hAnsi="仿宋" w:eastAsia="仿宋_GB2312" w:cs="楷体"/>
          <w:sz w:val="32"/>
          <w:szCs w:val="32"/>
        </w:rPr>
        <w:t>以东英国际慢城建设为引领，推进升级版美丽渔港、美丽渔村和特色产业小镇、共享农庄、田园综合体、美丽乡村建设，结合临高农渔品牌产品和海鲜、烤乳猪、土窑等传统美食，融入哩哩美、人偶戏、文物古迹等地域文化特色，提升吃住行游购娱等旅游设施建设，植入闲情奇商学养等现代旅游要素，实现一二三产业跨界融合，着力打造高品质特色旅游景区景点，积极发展慢文化体验、商务游学、渔家风情、休闲农业、海江怡情、湿地科普、客栈驿站、精品民宿、健康养生、身心疗愈、自驾房车、骑行徒步、古村落等农旅文旅融合型旅游消费新模式、新业态，打造以国际慢城为引领的临高旅游珍珠链。以建制镇为单位，坚持集中资源、突出重点、逐步推进的原则，集中力量建设好一个镇域精品景区，作为旅游综合服务平台和游客接待集散中心，重点推进东英国际慢城、新调海港渔业休闲风情小镇、博厚国家农业公园、南宝万亩田园综合体，兰刘、乐豪等美丽渔村和文书、铺仔、居仁、松梅、头神、美鳌、溪尾等美丽乡村建设。</w:t>
      </w:r>
    </w:p>
    <w:p>
      <w:pPr>
        <w:pStyle w:val="3"/>
        <w:spacing w:line="240" w:lineRule="auto"/>
        <w:jc w:val="center"/>
        <w:rPr>
          <w:rFonts w:ascii="楷体_GB2312" w:eastAsia="楷体_GB2312" w:cs="楷体" w:hAnsiTheme="majorEastAsia"/>
          <w:szCs w:val="32"/>
        </w:rPr>
      </w:pPr>
      <w:bookmarkStart w:id="36" w:name="_Toc64143011"/>
      <w:r>
        <w:rPr>
          <w:rFonts w:hint="eastAsia" w:ascii="楷体_GB2312" w:eastAsia="楷体_GB2312" w:cs="楷体" w:hAnsiTheme="majorEastAsia"/>
          <w:szCs w:val="32"/>
        </w:rPr>
        <w:t>第六节 积极参与国际旅游消费中心建设</w:t>
      </w:r>
      <w:bookmarkEnd w:id="36"/>
    </w:p>
    <w:p>
      <w:pPr>
        <w:ind w:firstLine="648"/>
        <w:rPr>
          <w:rFonts w:ascii="仿宋_GB2312" w:hAnsi="仿宋" w:eastAsia="仿宋_GB2312" w:cs="楷体"/>
          <w:sz w:val="32"/>
          <w:szCs w:val="32"/>
        </w:rPr>
      </w:pPr>
      <w:r>
        <w:rPr>
          <w:rFonts w:hint="eastAsia" w:ascii="仿宋_GB2312" w:hAnsi="仿宋" w:eastAsia="仿宋_GB2312" w:cs="楷体"/>
          <w:sz w:val="32"/>
          <w:szCs w:val="32"/>
        </w:rPr>
        <w:t>立足特色优势，提升传统消费，培育新型消费，丰富消费新模式新业态发展，促进消费向绿色、健康、安全发展，推进旅游消费服务高品质发展。</w:t>
      </w:r>
    </w:p>
    <w:p>
      <w:pPr>
        <w:ind w:firstLine="646"/>
        <w:rPr>
          <w:rFonts w:ascii="仿宋_GB2312" w:hAnsi="仿宋" w:eastAsia="仿宋_GB2312" w:cs="楷体"/>
          <w:sz w:val="32"/>
          <w:szCs w:val="32"/>
        </w:rPr>
      </w:pPr>
      <w:r>
        <w:rPr>
          <w:rFonts w:hint="eastAsia" w:ascii="仿宋_GB2312" w:hAnsi="楷体" w:eastAsia="仿宋_GB2312" w:cs="楷体"/>
          <w:b/>
          <w:sz w:val="32"/>
          <w:szCs w:val="32"/>
        </w:rPr>
        <w:t>加快推进“两街十一市”建设。</w:t>
      </w:r>
      <w:r>
        <w:rPr>
          <w:rFonts w:hint="eastAsia" w:ascii="仿宋_GB2312" w:hAnsi="仿宋" w:eastAsia="仿宋_GB2312" w:cs="楷体"/>
          <w:sz w:val="32"/>
          <w:szCs w:val="32"/>
        </w:rPr>
        <w:t>大力发展“夜间经济”，加快推进“两街十一市”项目建设，建设以扶贫为主的文澜创业街和复合型文澜创新创业街，着力打造“文澜夜市”和“哩哩美夜市”品牌，积极培育发展夜食、夜游、夜购、夜健、夜读、夜展等多元化夜间经济业态，全面点亮“夜临高”，建设海南岛西部休闲娱乐不夜城，引进和扩大夜间消费，推动形成临高夜间经济创业就业新格局，努力增加城乡居民收入。促进线上线下消费融合发展，开拓城乡消费市场。改善消费环境，强化消费者权益保护。</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加快培育发展商务旅游业。</w:t>
      </w:r>
      <w:r>
        <w:rPr>
          <w:rFonts w:hint="eastAsia" w:ascii="仿宋_GB2312" w:hAnsi="仿宋" w:eastAsia="仿宋_GB2312" w:cs="楷体"/>
          <w:sz w:val="32"/>
          <w:szCs w:val="32"/>
        </w:rPr>
        <w:t>围绕“三区一园”建设，突出“两港、两业、两旅、慢城”的产业发展主题，举办或承办国际或全国性博览会、发展论坛以及学术会议、颁奖会议等重大活动，着力打造国际慢城临高之旅、哩哩美渔歌节、耕海牧渔文化节、文澜夜市、海南解放纪念月等特色旅游会展品牌，积极培育国际游艇博览会、国际通用航空博览会等国际性商务会展旅游品牌，努力将产业融合型商务旅游培育成临高经济新增长点。</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着力打造一流的旅游消费服务环境。</w:t>
      </w:r>
      <w:r>
        <w:rPr>
          <w:rFonts w:hint="eastAsia" w:ascii="仿宋_GB2312" w:hAnsi="仿宋" w:eastAsia="仿宋_GB2312" w:cs="楷体"/>
          <w:sz w:val="32"/>
          <w:szCs w:val="32"/>
        </w:rPr>
        <w:t>建设临高县游客服务中心和数字化网络服务平台，对公共服务设施及景区景点进行国际化、标准化、数字化改造，全面提升旅游消费服务的能力和水平。建立旅游投诉快速反映处理机制，全面优化旅游综合管理和执法，全力推进全域旅游文明创建活动，视诚信和质量为生命，大力改善旅游消费服务环境。</w:t>
      </w:r>
    </w:p>
    <w:p>
      <w:pPr>
        <w:ind w:firstLine="642" w:firstLineChars="200"/>
        <w:rPr>
          <w:rFonts w:ascii="仿宋_GB2312" w:hAnsi="仿宋" w:eastAsia="仿宋_GB2312" w:cs="楷体"/>
          <w:sz w:val="32"/>
          <w:szCs w:val="32"/>
        </w:rPr>
      </w:pPr>
      <w:r>
        <w:rPr>
          <w:rFonts w:hint="eastAsia" w:ascii="仿宋_GB2312" w:hAnsi="楷体" w:eastAsia="仿宋_GB2312" w:cs="楷体"/>
          <w:b/>
          <w:bCs/>
          <w:sz w:val="32"/>
        </w:rPr>
        <w:t>推进全域旅游路网系统建设。</w:t>
      </w:r>
      <w:r>
        <w:rPr>
          <w:rFonts w:hint="eastAsia" w:ascii="仿宋_GB2312" w:hAnsi="仿宋" w:eastAsia="仿宋_GB2312" w:cs="楷体"/>
          <w:bCs/>
          <w:sz w:val="32"/>
        </w:rPr>
        <w:t>加快推进滨海环岛旅游公路临高段全线贯通，启动文澜江两岸旅游公路建设，改扩建高山岭旅游公路，推进海榆西线（G225）和12条县道旅游服务功能改造提升，构建临高旅游公路骨干路网。在重点旅游区域，突出地域文化特色，使用地产石材、木材和环保新材，依托乡道、村道规划建设连接景区、景点的旅游慢道系统，合理布局建设停车场、房车营地、户外宿营地、客栈驿站和自驾、骑行、徒步补给服务网点。</w:t>
      </w:r>
    </w:p>
    <w:p>
      <w:pPr>
        <w:spacing w:line="560" w:lineRule="exact"/>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努力塑造“一城两市”整体旅游景观形象。</w:t>
      </w:r>
      <w:r>
        <w:rPr>
          <w:rFonts w:hint="eastAsia" w:ascii="仿宋_GB2312" w:hAnsi="仿宋" w:eastAsia="仿宋_GB2312" w:cs="楷体"/>
          <w:sz w:val="32"/>
          <w:szCs w:val="32"/>
        </w:rPr>
        <w:t>实施全域绿化改造和景观提升工程，把临高作为一个旅游大景区进行整体规划、开发和建设。完善文澜文化公园建设，规划建设后水湾彩桥红树林、文澜江入海口、马袅湾红树林三大湿地公园和尧龙水库-文澜江上游、跃进水库-大塘河两大森林湿地公园，完善“一线两岸”滨海滨江连续性、封闭性带状生态公园建设，推动文澜江、大塘河、文科河、马袅河等重点河流水系生态环境治理和水文化景观改造，建设一批小微型湿地资源保护和景观工程，最大限度保护拓展滨海滨江绿色生态空间、湿地资源空间和公众休闲空间，塑造国际慢城、国际湿地城市和国家森林城市的整体景观形象。</w:t>
      </w:r>
    </w:p>
    <w:p>
      <w:pPr>
        <w:spacing w:line="560" w:lineRule="exact"/>
        <w:ind w:firstLine="642" w:firstLineChars="200"/>
        <w:rPr>
          <w:rFonts w:ascii="仿宋_GB2312" w:hAnsi="仿宋" w:eastAsia="仿宋_GB2312" w:cs="仿宋"/>
          <w:sz w:val="32"/>
          <w:szCs w:val="32"/>
        </w:rPr>
      </w:pPr>
      <w:r>
        <w:rPr>
          <w:rFonts w:hint="eastAsia" w:ascii="仿宋_GB2312" w:hAnsi="楷体_GB2312" w:eastAsia="仿宋_GB2312" w:cs="楷体_GB2312"/>
          <w:b/>
          <w:sz w:val="32"/>
          <w:szCs w:val="32"/>
        </w:rPr>
        <w:t>持续推动对外开放和国防建设。</w:t>
      </w:r>
      <w:r>
        <w:rPr>
          <w:rFonts w:hint="eastAsia" w:ascii="仿宋_GB2312" w:hAnsi="仿宋" w:eastAsia="仿宋_GB2312" w:cs="仿宋_GB2312"/>
          <w:sz w:val="32"/>
          <w:szCs w:val="32"/>
        </w:rPr>
        <w:t>积极参与“一带一路”建设，办好21世纪海上丝绸之路诗歌峰会，主动参与西部陆海新通道和琼州海峡经济带建设。推进“智慧海洋”建设，构建海洋综合立体感知体系，</w:t>
      </w:r>
      <w:r>
        <w:rPr>
          <w:rFonts w:hint="eastAsia" w:ascii="仿宋_GB2312" w:hAnsi="仿宋" w:eastAsia="仿宋_GB2312" w:cs="仿宋"/>
          <w:sz w:val="32"/>
          <w:szCs w:val="32"/>
        </w:rPr>
        <w:t>加快南海渔业综合补给项目建设，提升海洋强国战略服务保障水平。加强党管武装工作，推动经济建设和国防建设协调发展，加强军地在基础设施、生态保护、科技、教育和医疗服务等领域统筹发展，建立健全军地共商、科技共兴、设施共建、后勤共保的体制机制。完善军地土地置换政策，保障军事用地需求，促进存量土地盘活利用。加快构建党政军警民合力强边固防联合指挥体系，加强国民经济动员体系和能力建设，深入开展双拥工作，全力支持国防和军队现代化建设。</w:t>
      </w:r>
    </w:p>
    <w:p>
      <w:pPr>
        <w:spacing w:line="560" w:lineRule="exact"/>
        <w:ind w:firstLine="640" w:firstLineChars="200"/>
        <w:rPr>
          <w:rFonts w:ascii="仿宋_GB2312" w:hAnsi="仿宋" w:eastAsia="仿宋_GB2312" w:cs="仿宋"/>
          <w:sz w:val="32"/>
          <w:szCs w:val="32"/>
        </w:rPr>
      </w:pPr>
    </w:p>
    <w:tbl>
      <w:tblPr>
        <w:tblStyle w:val="12"/>
        <w:tblW w:w="8794" w:type="dxa"/>
        <w:jc w:val="center"/>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804" w:hRule="atLeast"/>
          <w:jc w:val="center"/>
        </w:trPr>
        <w:tc>
          <w:tcPr>
            <w:tcW w:w="8794"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专栏7  农旅文旅融合发展重大工程  </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（一）国际慢城“一带一廊两区三心四节点”布局结构</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一带：国际设计海岸带；一廊：东英山海文廊；两区：艺术田洋区和慢养田洋区：三心：文化高山、田洋东英和海风美夏；四节点：海洋牧场、博纵村、扶提村和伴康村。</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（二）国际慢城重点建设项目</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28km海岸线和防护林环境整治；美夏港艺术中心、民俗展示馆、民俗汇演剧场、民俗技艺培训中心；头洋村 “一水三十九村巷”古村落文化旅游项目、头洋湾旅游驿站；博纵村逅海民宿；东英国际漫城休闲康养中心；国际慢城品牌节事活动。</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（三）海南解放公园重点建设项目</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周边配套提升、登陆临高角旅游演艺、国家4A级旅游景区创建等。</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（四）耕海牧渔文化旅游</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将新盈湿地公园建设成以红树林海洋动植物保护和休闲渔业为主题的湿地公园，建设新调海港渔业休闲带和新盈渔人码头，规划建设休闲渔业文化广场，策划举办“哩哩美”渔歌节等文化活动。</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（五）“古八景”修复创新</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重点推进高山岭景区、居仁瀑布景区和百仞滩景区改造升级项目建设。</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（六）高端旅游业态</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推动建设超级游艇维修再制造中心、超级游艇旅游中心等重大项目；推进临高通用航空机场建设，建设通航博物馆、通航文旅主题公园等重大项目。</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（七）镇域融合发展平台建设</w:t>
            </w:r>
          </w:p>
        </w:tc>
      </w:tr>
      <w:tr>
        <w:tblPrEx>
          <w:tblCellMar>
            <w:top w:w="0" w:type="dxa"/>
            <w:left w:w="108" w:type="dxa"/>
            <w:bottom w:w="0" w:type="dxa"/>
            <w:right w:w="108" w:type="dxa"/>
          </w:tblCellMar>
        </w:tblPrEx>
        <w:trPr>
          <w:trHeight w:val="1560"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每个镇建设好一个“六有”镇域精品景区，重点推进东英国际慢城、新调海港渔业休闲风情小镇、博厚国家农业公园、南宝万亩田园综合体等重点旅游景区以及兰刘、乐豪、文书、铺仔、居仁、松梅、头神、美鳌、溪尾等美丽乡村建设。</w:t>
            </w:r>
            <w:r>
              <w:rPr>
                <w:rFonts w:hint="eastAsia" w:ascii="仿宋_GB2312" w:hAnsi="楷体" w:eastAsia="仿宋_GB2312" w:cs="宋体"/>
                <w:color w:val="000000"/>
                <w:kern w:val="0"/>
                <w:sz w:val="24"/>
                <w:szCs w:val="24"/>
              </w:rPr>
              <w:br w:type="textWrapping"/>
            </w:r>
            <w:r>
              <w:rPr>
                <w:rFonts w:hint="eastAsia" w:ascii="仿宋_GB2312" w:hAnsi="楷体" w:eastAsia="仿宋_GB2312" w:cs="宋体"/>
                <w:color w:val="000000"/>
                <w:kern w:val="0"/>
                <w:sz w:val="24"/>
                <w:szCs w:val="24"/>
              </w:rPr>
              <w:t xml:space="preserve">    六有：有运营商或致富带头人、有特色产业、有特色餐饮、有主题文化体验、有游览购物、有网络营销平台。</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（八）“两街十一市”</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在文澜江沿线的临城、南宝、波莲、加来、多文、和舍、皇桐等7镇建设“文澜主题夜市”，在沿海的新盈、调楼、东英、博厚等4镇建设“哩哩美主题夜市”，在江南市场建设以扶贫为主的文澜创业街，在临高角打造“文澜创新创业街”。</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（九）商务会展旅游</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着力打造国际慢城临高之旅、哩哩美渔歌节、耕海牧渔文化节、文澜夜市、临高角海南解放纪念月等特色商务旅游会展品牌，积极培育国际游艇博览会、国际通用航空博览会等国际性商务会展旅游品牌。</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（十）全域旅游公路</w:t>
            </w:r>
          </w:p>
        </w:tc>
      </w:tr>
      <w:tr>
        <w:tblPrEx>
          <w:tblCellMar>
            <w:top w:w="0" w:type="dxa"/>
            <w:left w:w="108" w:type="dxa"/>
            <w:bottom w:w="0" w:type="dxa"/>
            <w:right w:w="108" w:type="dxa"/>
          </w:tblCellMar>
        </w:tblPrEx>
        <w:trPr>
          <w:trHeight w:val="1248"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实现滨海环岛旅游公路临高段全线贯通，启动文澜江两岸旅游公路建设，改扩建高山岭旅游公路，推进海榆西线（G225）改造、12条县道旅游服务功能改造提升，构建临高旅游公路骨干路网。规划建设旅游慢道和停车场、房车营地、户外宿营地、客栈驿站和自驾、骑行、徒步补给服务网点。</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spacing w:line="320" w:lineRule="exact"/>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（十一）旅游整体景观形象</w:t>
            </w:r>
          </w:p>
        </w:tc>
      </w:tr>
      <w:tr>
        <w:tblPrEx>
          <w:tblCellMar>
            <w:top w:w="0" w:type="dxa"/>
            <w:left w:w="108" w:type="dxa"/>
            <w:bottom w:w="0" w:type="dxa"/>
            <w:right w:w="108" w:type="dxa"/>
          </w:tblCellMar>
        </w:tblPrEx>
        <w:trPr>
          <w:trHeight w:val="1260" w:hRule="atLeast"/>
          <w:jc w:val="center"/>
        </w:trPr>
        <w:tc>
          <w:tcPr>
            <w:tcW w:w="8794" w:type="dxa"/>
            <w:tcBorders>
              <w:top w:val="nil"/>
              <w:left w:val="single" w:color="auto" w:sz="4" w:space="0"/>
              <w:bottom w:val="double" w:color="auto" w:sz="6" w:space="0"/>
              <w:right w:val="single" w:color="auto" w:sz="4" w:space="0"/>
            </w:tcBorders>
            <w:shd w:val="clear" w:color="000000" w:fill="DDEBF7"/>
            <w:vAlign w:val="center"/>
          </w:tcPr>
          <w:p>
            <w:pPr>
              <w:widowControl/>
              <w:spacing w:line="320" w:lineRule="exact"/>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实施全域绿化改造和景观提升工程，推进文澜文化公园、三大滨海湿地公园、文澜江上游两大森林湿地公园、“一线两岸”滨海滨江带状生态公园建设，推动“一江三河”等重点水系河库生态环境治理和水文化景观改造，建设一批小微型湿地资源保护和景观工程。</w:t>
            </w:r>
          </w:p>
        </w:tc>
      </w:tr>
      <w:tr>
        <w:tblPrEx>
          <w:tblCellMar>
            <w:top w:w="0" w:type="dxa"/>
            <w:left w:w="108" w:type="dxa"/>
            <w:bottom w:w="0" w:type="dxa"/>
            <w:right w:w="108" w:type="dxa"/>
          </w:tblCellMar>
        </w:tblPrEx>
        <w:trPr>
          <w:trHeight w:val="300" w:hRule="atLeast"/>
          <w:jc w:val="center"/>
        </w:trPr>
        <w:tc>
          <w:tcPr>
            <w:tcW w:w="8794"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3"/>
        <w:spacing w:line="240" w:lineRule="auto"/>
        <w:jc w:val="center"/>
        <w:rPr>
          <w:rFonts w:ascii="楷体_GB2312" w:eastAsia="楷体_GB2312" w:cs="仿宋_GB2312" w:hAnsiTheme="majorEastAsia"/>
          <w:bCs/>
        </w:rPr>
      </w:pPr>
      <w:bookmarkStart w:id="37" w:name="_Toc64143012"/>
      <w:r>
        <w:rPr>
          <w:rFonts w:hint="eastAsia" w:ascii="楷体_GB2312" w:eastAsia="楷体_GB2312" w:cs="仿宋_GB2312" w:hAnsiTheme="majorEastAsia"/>
          <w:bCs/>
        </w:rPr>
        <w:t>第七节 积极推动现代服务业发展</w:t>
      </w:r>
      <w:bookmarkEnd w:id="37"/>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全面落实自贸港服务业开放的制度安排和政策措施，围绕“三区一园”和“两港、两业、两旅、慢城”建设，构建现代服务业发展新格局。</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积极培育发展现代生产性服务业。</w:t>
      </w:r>
      <w:r>
        <w:rPr>
          <w:rFonts w:hint="eastAsia" w:ascii="仿宋_GB2312" w:hAnsi="仿宋" w:eastAsia="仿宋_GB2312" w:cs="仿宋_GB2312"/>
          <w:bCs/>
          <w:sz w:val="32"/>
        </w:rPr>
        <w:t>加快培育发展现代物流业。依托“双港”带动，积极培育发展现代临港物流、临空物流、国际电商物流、航空运输中转服务等产业，支持邮政、快递企业新建扩建县级邮件处理中心和快件中转集散中心，建设县域电商公共仓储设施和快递专业类物流园区。加快培育产业链供应链金融服务业。围绕重点产业链供应链建设，推动发展跨境结算、跨境投融资、跨境理财、跨境保险、REITs、QFLP、QDLP等领域金融产品服务创新，探索发展离岸金融，千方百计降低临高企业融资成本。加快培育发展高端设计产业。依托“国际设计海岸”建设，加快吸引集聚建筑景观设计、工业（产业）软件设计、时尚设计、艺术设计、专业技术服务等产业，努力将临高建成承接海南“国际设计岛”建设的重要示范区。</w:t>
      </w:r>
    </w:p>
    <w:p>
      <w:pPr>
        <w:ind w:firstLine="642" w:firstLineChars="200"/>
        <w:rPr>
          <w:rFonts w:ascii="仿宋_GB2312" w:hAnsi="仿宋_GB2312" w:eastAsia="仿宋_GB2312" w:cs="仿宋_GB2312"/>
          <w:bCs/>
          <w:sz w:val="32"/>
        </w:rPr>
      </w:pPr>
      <w:r>
        <w:rPr>
          <w:rFonts w:hint="eastAsia" w:ascii="仿宋_GB2312" w:hAnsi="楷体" w:eastAsia="仿宋_GB2312" w:cs="仿宋_GB2312"/>
          <w:b/>
          <w:bCs/>
          <w:sz w:val="32"/>
        </w:rPr>
        <w:t>加快推动生活性服务业高品质升级。</w:t>
      </w:r>
      <w:r>
        <w:rPr>
          <w:rFonts w:hint="eastAsia" w:ascii="仿宋_GB2312" w:hAnsi="仿宋" w:eastAsia="仿宋_GB2312" w:cs="仿宋_GB2312"/>
          <w:bCs/>
          <w:sz w:val="32"/>
        </w:rPr>
        <w:t>顺应人民群众对美好生活的需求，加强公益性、基础性服务业供给，加快发展高质量的健康、养老、育幼、文化、旅游、体育、家政、物业等生活性服务业。推动房地产业持续健康发展。继续落实“两个暂停”政策，规范商品住房销售租赁市场和物业管理服务业，积极稳妥地盘活存量住宅房地产，新出让土地建设的商品住房实行现房销售制度，完善外来人才和本地居民住房保障体系，适度发展适应岛外居民高端需求的高品质房地产业，推进商业性房地产向旅游、现代服务和高新技术等产业类房地产业的转型。加快发展医疗大健康产业。提升健康服务业发展水平，实施差异化医疗健康产业发展战略，重点培育和发展脑科学、神经科学、心理治疗、身心疗愈、减压康复、健康养生等产业，探索发展气候医疗、南药、黎药、海南植物药、海洋生物医药等医疗康复服务，积极发展数字医疗、网络医疗和远程医疗，规划建设非标准医学（世界各国传统医学）科学化试验和身心疗愈养生健康产业基地。支持发展养老产业，加快建设智慧养老服务系统，引进外资、民资发展市场化、高标准养老产业，鼓励存量房地产转型发展养老产业。促进商住餐饮服务业高品质、多样化发展。推进商住餐饮服务业高质量、高标准、数字化转型升级，建设智慧城市、智慧乡村和智慧商圈，推动连锁经营，发展电子商务、生鲜电商、在线娱乐、网络教育、网络医疗、智慧物流、云服务等新型城乡居民服务新业态，完善数字化智能生活服务业体系，进一步提升生活服务可及性、便利性、精准性和可定制性。加快发展特色精品民宿和特色餐饮，提高临高商住餐饮服务业对海口、洋浦两大经济中心的服务能力，大力发展都市城郊型商住餐饮服务业。</w:t>
      </w:r>
    </w:p>
    <w:p>
      <w:pPr>
        <w:pStyle w:val="3"/>
        <w:spacing w:line="240" w:lineRule="auto"/>
        <w:jc w:val="center"/>
        <w:rPr>
          <w:rFonts w:ascii="楷体_GB2312" w:eastAsia="楷体_GB2312" w:cs="仿宋_GB2312" w:hAnsiTheme="majorEastAsia"/>
          <w:bCs/>
        </w:rPr>
      </w:pPr>
      <w:bookmarkStart w:id="38" w:name="_Toc64143013"/>
      <w:r>
        <w:rPr>
          <w:rFonts w:hint="eastAsia" w:ascii="楷体_GB2312" w:eastAsia="楷体_GB2312" w:cs="仿宋_GB2312" w:hAnsiTheme="majorEastAsia"/>
          <w:bCs/>
        </w:rPr>
        <w:t>第八节 培育壮大新产业新业态</w:t>
      </w:r>
      <w:bookmarkEnd w:id="38"/>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围绕“三区一园”建设，积极发展高新技术新产业、新业态加快培育创新发展新动能，着力打造经济发展的新引擎。</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推动建设现代职业教育创新发展试验区。</w:t>
      </w:r>
      <w:r>
        <w:rPr>
          <w:rFonts w:hint="eastAsia" w:ascii="仿宋_GB2312" w:hAnsi="仿宋" w:eastAsia="仿宋_GB2312" w:cs="仿宋_GB2312"/>
          <w:bCs/>
          <w:sz w:val="32"/>
        </w:rPr>
        <w:t>推进现代职业教育创新发展，迅速改变科技教育文化落后局面，加快培育高素质产业技术人才，促进临高战略性新兴产业发展。大力引进现代职业教育优质资源。积极引进国内外领先的职业教育院校、机构和著名培训师，发挥职业教育“候鸟”人才优势，吸引大型行业龙头企业在临高设立职业教育培训机构和实训基地，鼓励社会力量参与办学，发展股份制、混合所有制职业院校，试点境外理工农医类职业院校在临高独立办学，探索中外合资举办海洋产业职业技术教育院校。大力推进现代职业教育产学研用一体化发展。积极发展数字化、网络化、智能化职业教育新模式、新业态，大力发展人工智能、大数据、云计算、区块链、工业互联网等领域职业教育和培训，打造一批功能突出、资源共享的区域性数字技能公共实训基地，为全省培养架构师、软件工程师、网络工程师、数据工程师、程序员、自媒体运营商、直播网红等各级各类数字经济职业技术人才。支持有实力的职业教育机构和大型龙头企业在临高设立研发中心、校办实体和实训基地，与临高本土企业建立产学研用一体化发展机制。大力实施职业教育惠民政策。鼓励本地居民依据自身情况主动接受就业前和转岗转业再就业职业教育培训，对困难家庭子弟、特殊人群、渔民和农村剩余劳动力实施职业教育提升计划，并给予大力度的优惠支持，大幅度提高本土青少年和劳动人口科学文化素质和职业技能就业竞争能力。</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推动建设现代循环经济科技产业园。</w:t>
      </w:r>
      <w:r>
        <w:rPr>
          <w:rFonts w:hint="eastAsia" w:ascii="仿宋_GB2312" w:hAnsi="仿宋" w:eastAsia="仿宋_GB2312" w:cs="仿宋_GB2312"/>
          <w:bCs/>
          <w:sz w:val="32"/>
        </w:rPr>
        <w:t>加大水、电、路、污水处理和集中供热、冷能等产业配套设施建设力度，实现“七通一平”。加快推进宁能生物质发电项目，支持环宇新能源扩能提质、发展生物质航空煤油等高端产品，引进能够处理农业废弃物的大型沼气工程，完善生物质能源电、油、气产业链。立足于解决建筑垃圾、生活垃圾、餐厨垃圾、农业废弃物、污泥等固废处理和资源再利用，加快引进国内外技术领先的行业平台型龙头企业、研发机构、一体化方案咨询服务商，加快建立绿色环保产业集群，破解日益紧迫的环保现实难题。面向未来发展，积极引进报废汽车、机车、家电、电脑、手机等“城市矿产”开发和循环维修再制造先进技术和重大项目，探索利用固废资源发展新型绿色建材、可降解包装材料等高技术循环产业，努力将绿色环保循环产业打造成临高新的经济增长点。</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大力发展数字产业。</w:t>
      </w:r>
      <w:r>
        <w:rPr>
          <w:rFonts w:hint="eastAsia" w:ascii="仿宋_GB2312" w:hAnsi="仿宋" w:eastAsia="仿宋_GB2312" w:cs="仿宋_GB2312"/>
          <w:bCs/>
          <w:sz w:val="32"/>
        </w:rPr>
        <w:t>依托现代职业教育创新发展试验区，设立数字经济创新创业孵化平台，完善以众创空间、孵化器为核心，创业企业、科研机构、金融机构、中介服务、资本市场和其他创业资源有机结合的服务网络，促进数字产业发展，重点培育发展人工智能、数字教育、数字创意、数字营销、虚拟现实、增强现实等产业。加快发展人工智能智慧制造产业。积极引进国内外人工智能龙头企业，推动建设集成化、虚拟化、柔性化、定制化的全数字化设计与制造平台，培育发展数字化、智能化、网络化制造业，重点发展人工智能产业机器人、移动机器人、保洁机器人、陪护机器人以及增材制造装备等高端智慧制造业。支持深海深空、海洋渔业、热带农业、旅游业、环境监测、公共服务等领域智能装备、数字感知电子设备及其软件系统的研发和应用，推动实现深海、深空和酷热天气环境下“机器代人”步伐，提高生产和服务效率。</w:t>
      </w:r>
    </w:p>
    <w:bookmarkEnd w:id="17"/>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加快培育发展本土优势制造业。</w:t>
      </w:r>
      <w:r>
        <w:rPr>
          <w:rFonts w:hint="eastAsia" w:ascii="仿宋_GB2312" w:hAnsi="仿宋" w:eastAsia="仿宋_GB2312" w:cs="仿宋"/>
          <w:sz w:val="32"/>
          <w:szCs w:val="32"/>
        </w:rPr>
        <w:t>全力支持海丰、天地人等农业产业化龙头企业在临高布局发展先进制造业、技术研发和技术服务项目，将农业产业链增值收益和核心技术留在临高，培育发展壮大一批本土制造业龙头企业。支持海南福山油田在临高开发油气田，推动东联长富制药、龙力糖业、原肽生物等企业改造更新、加快发展。推进临高乳猪、土窑食品产业化，加快发展海产品、凤梨、香蕉、瓜菜等农渔产品加工业，着力打造一批本土类似“老干妈”和“绝味鸭脖”的食品工业品牌。</w:t>
      </w: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833"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专栏8  新产业新业态培育发展重大工程  </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（一）现代职业教育</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规划建设现代职业教育创新发展试验区，大力培养各级各类数字经济职业技术人才，实施职业教育惠民政策，促进职业教育产学研用一体化发展。</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（二）绿色循环产业</w:t>
            </w:r>
          </w:p>
        </w:tc>
      </w:tr>
      <w:tr>
        <w:tblPrEx>
          <w:tblCellMar>
            <w:top w:w="0" w:type="dxa"/>
            <w:left w:w="108" w:type="dxa"/>
            <w:bottom w:w="0" w:type="dxa"/>
            <w:right w:w="108" w:type="dxa"/>
          </w:tblCellMar>
        </w:tblPrEx>
        <w:trPr>
          <w:trHeight w:val="1248"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规划建设现代循环经济科技产业园，支持海南宁能生物质发电、环宇新能源扩建等项目建设，引进报废汽车、机车、家电、电脑、手机等“城市矿产”开发和循环维修再制造先进技术和重大项目，探索利用固废资源发展新型绿色建材、可降解包装材料等高技术循环产业。</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（三）数字产业</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依托现代职业教育创新发展试验区，促进临高数字经济和高新技术产业发展，重点发展人工智能、数字教育、数字创意、数字营销、虚拟现实、增强现实等产业；积极引进国内外人工智能龙头企业，加快培育发展智能智慧制造产业。</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（四）本土优势制造业</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支持海丰、天地人等农业产业化龙头企业在临高布局发展先进制造业、技术研发和技术服务等项目，加快发展海产品、凤梨、香蕉、瓜菜等农渔产品加工业，着力打造一批本土类似“老干妈”和“绝味鸭脖”的食品工业品牌。</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（五）现代物流业</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依托“双港”带动，积极培育发展现代临港物流、临空物流、国际电商物流、航空运输中转服务等产业，支持邮政、快递企业新建扩建县级邮件处理中心和快件中转集散中心，建设县域电商公共仓储设施或快递专业类物流园区。</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（六）产业链金融</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围绕重点产业链供应链，推动发展跨境结算、跨境投融资、跨境理财、跨境保险、REITs、QFLP、QDLP等领域金融产品服务创新，探索发展离岸金融。</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（七）高端设计产业</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依托国际设计海岸，加快吸引集聚建筑景观设计、工业（产业）软件设计、时尚设计、艺术设计、专业技术服务等产业。</w:t>
            </w:r>
          </w:p>
        </w:tc>
      </w:tr>
      <w:tr>
        <w:trPr>
          <w:trHeight w:val="300"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（八）房地产业</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规范商品住房销售租赁市场和物业管理服务业，盘活存量住宅房地产，适度发展适应岛外居民高端需求的高品质房地产业，推进商业性房地产向旅游、现代服务和高新技术等产业类房地产业转型。</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（九）健康产业</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实施差异化医疗健康产业战略，重点发展脑科学、神经科学、心理治疗、身心疗愈、减压康复、健康养生等产业，积极发展数字医疗、网络医疗和远程医疗，规划建设非标准医学和身心疗愈养生健康产业基地。</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（十）商住餐饮服务业</w:t>
            </w:r>
          </w:p>
        </w:tc>
      </w:tr>
      <w:tr>
        <w:tblPrEx>
          <w:tblCellMar>
            <w:top w:w="0" w:type="dxa"/>
            <w:left w:w="108" w:type="dxa"/>
            <w:bottom w:w="0" w:type="dxa"/>
            <w:right w:w="108" w:type="dxa"/>
          </w:tblCellMar>
        </w:tblPrEx>
        <w:trPr>
          <w:trHeight w:val="948"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推动连锁经营，发展电子商务、生鲜电商、在线娱乐、网络教育、网络医疗、智慧物流、云服务等新型城乡居民服务业新业态，完善数字化智能生活服务业体系；加快发展特色精品民宿和特色餐饮。</w:t>
            </w:r>
          </w:p>
        </w:tc>
      </w:tr>
      <w:tr>
        <w:tblPrEx>
          <w:tblCellMar>
            <w:top w:w="0" w:type="dxa"/>
            <w:left w:w="108" w:type="dxa"/>
            <w:bottom w:w="0" w:type="dxa"/>
            <w:right w:w="108" w:type="dxa"/>
          </w:tblCellMar>
        </w:tblPrEx>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2"/>
        <w:spacing w:line="240" w:lineRule="auto"/>
        <w:ind w:firstLine="640" w:firstLineChars="200"/>
        <w:rPr>
          <w:rFonts w:ascii="黑体" w:hAnsi="黑体" w:eastAsia="黑体" w:cs="仿宋"/>
          <w:b w:val="0"/>
          <w:sz w:val="32"/>
          <w:szCs w:val="32"/>
        </w:rPr>
      </w:pPr>
      <w:bookmarkStart w:id="39" w:name="_Toc64143014"/>
      <w:r>
        <w:rPr>
          <w:rFonts w:hint="eastAsia" w:ascii="黑体" w:hAnsi="黑体" w:eastAsia="黑体" w:cs="仿宋"/>
          <w:b w:val="0"/>
          <w:sz w:val="32"/>
          <w:szCs w:val="32"/>
        </w:rPr>
        <w:t>第五章 坚持创新驱动发展，不断培育发展新动能</w:t>
      </w:r>
      <w:bookmarkEnd w:id="39"/>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坚持创新在现代化建设全局中的核心地位，深入实施科技兴县战略、人才强县战略、创新驱动发展战略，进一步破除制约发展的体制机制障碍，以创新创造新活力激发发展新动能。</w:t>
      </w:r>
    </w:p>
    <w:p>
      <w:pPr>
        <w:pStyle w:val="3"/>
        <w:spacing w:line="240" w:lineRule="auto"/>
        <w:jc w:val="center"/>
        <w:rPr>
          <w:rFonts w:ascii="楷体_GB2312" w:eastAsia="楷体_GB2312" w:cs="楷体" w:hAnsiTheme="majorEastAsia"/>
          <w:szCs w:val="32"/>
        </w:rPr>
      </w:pPr>
      <w:bookmarkStart w:id="40" w:name="_Toc64143015"/>
      <w:r>
        <w:rPr>
          <w:rFonts w:hint="eastAsia" w:ascii="楷体_GB2312" w:eastAsia="楷体_GB2312" w:cs="楷体" w:hAnsiTheme="majorEastAsia"/>
          <w:szCs w:val="32"/>
        </w:rPr>
        <w:t>第一节 大力实施科技兴县战略</w:t>
      </w:r>
      <w:bookmarkEnd w:id="40"/>
    </w:p>
    <w:p>
      <w:pPr>
        <w:ind w:firstLine="640"/>
        <w:rPr>
          <w:rFonts w:ascii="仿宋_GB2312" w:hAnsi="仿宋" w:eastAsia="仿宋_GB2312" w:cs="楷体"/>
          <w:sz w:val="32"/>
          <w:szCs w:val="32"/>
        </w:rPr>
      </w:pPr>
      <w:r>
        <w:rPr>
          <w:rFonts w:hint="eastAsia" w:ascii="仿宋_GB2312" w:hAnsi="仿宋" w:eastAsia="仿宋_GB2312" w:cs="楷体"/>
          <w:sz w:val="32"/>
          <w:szCs w:val="32"/>
        </w:rPr>
        <w:t>坚持将科技创新作为突破发展瓶颈、实现换道超车、引领高质量发展的第一动力，加快建设科技产业强县。</w:t>
      </w:r>
    </w:p>
    <w:p>
      <w:pPr>
        <w:ind w:firstLine="640"/>
        <w:rPr>
          <w:rFonts w:ascii="仿宋_GB2312" w:hAnsi="仿宋" w:eastAsia="仿宋_GB2312" w:cs="楷体"/>
          <w:sz w:val="32"/>
          <w:szCs w:val="32"/>
        </w:rPr>
      </w:pPr>
      <w:r>
        <w:rPr>
          <w:rFonts w:hint="eastAsia" w:ascii="仿宋_GB2312" w:hAnsi="楷体" w:eastAsia="仿宋_GB2312" w:cs="楷体"/>
          <w:b/>
          <w:sz w:val="32"/>
          <w:szCs w:val="32"/>
        </w:rPr>
        <w:t>加大科技创新投入扶持力度。</w:t>
      </w:r>
      <w:r>
        <w:rPr>
          <w:rFonts w:hint="eastAsia" w:ascii="仿宋_GB2312" w:hAnsi="仿宋" w:eastAsia="仿宋_GB2312" w:cs="楷体"/>
          <w:sz w:val="32"/>
          <w:szCs w:val="32"/>
        </w:rPr>
        <w:t>克服财政收支矛盾日益突出的压力，进一步增强科技创新意识，千方百计加大对科技创新投入和扶持力度，着力保障科技创新重点项目支出，力争将研究与试验发展经费支出占GDP比重提高到1.6%。将科技创新战略作为调整产业结构、促进发展转型的重要基础，积极争取国家和海南相关政策和资金支持，确保财政对科技投入的预算比例逐年增长。持续强化企业科技创新主体地位，以临高优势产业为依托，加快引进国内外产业资本、金融资本和民间资本进入科技创新领域，积极引导企业和社会资本加大对科技创新的投入。</w:t>
      </w:r>
    </w:p>
    <w:p>
      <w:pPr>
        <w:ind w:firstLine="640"/>
        <w:rPr>
          <w:rFonts w:ascii="仿宋_GB2312" w:hAnsi="仿宋" w:eastAsia="仿宋_GB2312" w:cs="楷体"/>
          <w:sz w:val="32"/>
          <w:szCs w:val="32"/>
        </w:rPr>
      </w:pPr>
      <w:r>
        <w:rPr>
          <w:rFonts w:hint="eastAsia" w:ascii="仿宋_GB2312" w:hAnsi="楷体" w:eastAsia="仿宋_GB2312" w:cs="楷体"/>
          <w:b/>
          <w:sz w:val="32"/>
          <w:szCs w:val="32"/>
        </w:rPr>
        <w:t>着力打造临高特色创新平台。</w:t>
      </w:r>
      <w:r>
        <w:rPr>
          <w:rFonts w:hint="eastAsia" w:ascii="仿宋_GB2312" w:hAnsi="仿宋" w:eastAsia="仿宋_GB2312" w:cs="楷体"/>
          <w:sz w:val="32"/>
          <w:szCs w:val="32"/>
        </w:rPr>
        <w:t>围绕“三区一园”和“两港、两业、两旅、慢城”建设，大力推进新型建筑、现代海洋、现代航空、数字智能、临港（空）物流、热带农业、海洋渔业等技术创新研发中心和创新创业企业孵化平台建设，加快推进</w:t>
      </w:r>
      <w:r>
        <w:rPr>
          <w:rFonts w:hint="eastAsia" w:ascii="仿宋_GB2312" w:hAnsi="仿宋_GB2312" w:eastAsia="仿宋_GB2312" w:cs="仿宋_GB2312"/>
          <w:bCs/>
          <w:color w:val="000000"/>
          <w:sz w:val="32"/>
          <w:szCs w:val="32"/>
        </w:rPr>
        <w:t>恒盛科技园项目建设，</w:t>
      </w:r>
      <w:r>
        <w:rPr>
          <w:rFonts w:hint="eastAsia" w:ascii="仿宋_GB2312" w:hAnsi="仿宋" w:eastAsia="仿宋_GB2312" w:cs="楷体"/>
          <w:sz w:val="32"/>
          <w:szCs w:val="32"/>
        </w:rPr>
        <w:t>积极孵化引进国内外科技创新型龙头企业和创新型中小企业，引导企业主动与高等院校、科研院所进一步深化科技合作项目，推动引进技术集成再创新，塑造高能级、高科技产业发展新优势。</w:t>
      </w:r>
    </w:p>
    <w:p>
      <w:pPr>
        <w:ind w:firstLine="642" w:firstLineChars="200"/>
        <w:rPr>
          <w:rFonts w:ascii="仿宋_GB2312" w:hAnsi="仿宋" w:eastAsia="仿宋_GB2312" w:cs="仿宋"/>
          <w:sz w:val="32"/>
          <w:szCs w:val="32"/>
        </w:rPr>
      </w:pPr>
      <w:r>
        <w:rPr>
          <w:rFonts w:hint="eastAsia" w:ascii="仿宋_GB2312" w:hAnsi="楷体" w:eastAsia="仿宋_GB2312" w:cs="楷体"/>
          <w:b/>
          <w:sz w:val="32"/>
          <w:szCs w:val="32"/>
        </w:rPr>
        <w:t>大力支持科技创新型企业发展壮大。</w:t>
      </w:r>
      <w:r>
        <w:rPr>
          <w:rFonts w:hint="eastAsia" w:ascii="仿宋_GB2312" w:hAnsi="仿宋" w:eastAsia="仿宋_GB2312" w:cs="楷体"/>
          <w:sz w:val="32"/>
          <w:szCs w:val="32"/>
        </w:rPr>
        <w:t>建立健全科技创新扶持机制，大力吸引高新企业入驻。全面完善和落实激励企业自主创新的相关政策，对取得重大科技创新成果的企业给予重奖，奖励政策更多侧重于创新成果产业化应用项目。积极开展技术创新服务，扶持和壮大一批具有创新能力和自主知识产权的中小企业。推动产学研用深度融合，通过建立技术合作平台和科技企业孵化器，为企业搭建好产学研用对接平台，为科技人员搭建与企业双向选择的信息交流平台。鼓励积极申报高新技术企业、高新技术产品和专利，对成绩突出的单位和个人给予奖励。</w:t>
      </w:r>
    </w:p>
    <w:p>
      <w:pPr>
        <w:ind w:firstLine="642" w:firstLineChars="200"/>
        <w:rPr>
          <w:rFonts w:ascii="仿宋_GB2312" w:hAnsi="仿宋" w:eastAsia="仿宋_GB2312" w:cs="仿宋"/>
          <w:sz w:val="32"/>
          <w:szCs w:val="32"/>
        </w:rPr>
      </w:pPr>
      <w:r>
        <w:rPr>
          <w:rFonts w:hint="eastAsia" w:ascii="仿宋_GB2312" w:hAnsi="楷体" w:eastAsia="仿宋_GB2312" w:cs="楷体"/>
          <w:b/>
          <w:sz w:val="32"/>
          <w:szCs w:val="32"/>
        </w:rPr>
        <w:t>加快农业领域科技创新步伐。</w:t>
      </w:r>
      <w:r>
        <w:rPr>
          <w:rFonts w:hint="eastAsia" w:ascii="仿宋_GB2312" w:hAnsi="仿宋" w:eastAsia="仿宋_GB2312" w:cs="楷体"/>
          <w:sz w:val="32"/>
          <w:szCs w:val="32"/>
        </w:rPr>
        <w:t>立足农业大县实际，大力推进农业科技进步和科技创新，加快推进农业由资源效益型向科技效益型转变。发挥龙头企业示范带动作用，支持海丰、天地人等农业产业化大型企业加快发展数字农业、智慧农业和物联网农业，力争走在全国农业科技创新的前列。大力引进农业科技创新型企业和项目，加快发展高科技含量的生态循环型工厂化种养殖产业。针对农业结构调整关键共性难题组织进行联合攻关，大力推进优良种苗、销售渠道、先进技术、设备供应、农资供应、金融服务等农业产业链、供应链的关键环节的技术创新、模式创新和业态创新，建设一批“企业+基地+农户”科技创新示范项目，培育发展新的农业现代化龙头企业和产业化项目，实现热带农业科技创新和质量效益双倍增。实施农业农村产业融合发展科技创新工程，拓展农业产业功能，延伸农业产业链，完善农业供应链，加快发展涉农高新技术产业，提高农业产业化发展综合效益。</w:t>
      </w:r>
    </w:p>
    <w:p>
      <w:pPr>
        <w:keepNext/>
        <w:keepLines/>
        <w:spacing w:before="260" w:after="260"/>
        <w:jc w:val="center"/>
        <w:outlineLvl w:val="1"/>
        <w:rPr>
          <w:rFonts w:ascii="楷体_GB2312" w:eastAsia="楷体_GB2312" w:cs="楷体" w:hAnsiTheme="majorEastAsia"/>
          <w:b/>
          <w:sz w:val="32"/>
          <w:szCs w:val="32"/>
        </w:rPr>
      </w:pPr>
      <w:bookmarkStart w:id="41" w:name="_Toc64143016"/>
      <w:r>
        <w:rPr>
          <w:rFonts w:hint="eastAsia" w:ascii="楷体_GB2312" w:eastAsia="楷体_GB2312" w:cs="楷体" w:hAnsiTheme="majorEastAsia"/>
          <w:b/>
          <w:sz w:val="32"/>
          <w:szCs w:val="32"/>
        </w:rPr>
        <w:t>第二节  大力实施人才强县战略</w:t>
      </w:r>
      <w:bookmarkEnd w:id="41"/>
    </w:p>
    <w:p>
      <w:pPr>
        <w:ind w:firstLine="640"/>
        <w:rPr>
          <w:rFonts w:ascii="仿宋_GB2312" w:hAnsi="仿宋" w:eastAsia="仿宋_GB2312" w:cs="楷体"/>
          <w:sz w:val="32"/>
          <w:szCs w:val="32"/>
        </w:rPr>
      </w:pPr>
      <w:r>
        <w:rPr>
          <w:rFonts w:hint="eastAsia" w:ascii="仿宋_GB2312" w:hAnsi="仿宋" w:eastAsia="仿宋_GB2312" w:cs="楷体"/>
          <w:sz w:val="32"/>
          <w:szCs w:val="32"/>
        </w:rPr>
        <w:t>坚持人才培养和引进“双轮驱动”，广揽五湖四海英才，努力打造国内外优秀人才集聚地。</w:t>
      </w:r>
    </w:p>
    <w:p>
      <w:pPr>
        <w:ind w:firstLine="640"/>
        <w:rPr>
          <w:rFonts w:ascii="仿宋_GB2312" w:hAnsi="仿宋" w:eastAsia="仿宋_GB2312" w:cs="楷体"/>
          <w:sz w:val="32"/>
          <w:szCs w:val="32"/>
        </w:rPr>
      </w:pPr>
      <w:r>
        <w:rPr>
          <w:rFonts w:hint="eastAsia" w:ascii="仿宋_GB2312" w:hAnsi="楷体" w:eastAsia="仿宋_GB2312" w:cs="楷体"/>
          <w:b/>
          <w:sz w:val="32"/>
          <w:szCs w:val="32"/>
        </w:rPr>
        <w:t>大力引进国内外创新创业人才。</w:t>
      </w:r>
      <w:r>
        <w:rPr>
          <w:rFonts w:hint="eastAsia" w:ascii="仿宋_GB2312" w:hAnsi="仿宋" w:eastAsia="仿宋_GB2312" w:cs="楷体"/>
          <w:sz w:val="32"/>
          <w:szCs w:val="32"/>
        </w:rPr>
        <w:t>落实“百万人才进海南”行动计划，引进各类高层次人才2600人。落实好自贸港海外人才利用政策，加大对海外高端紧缺人才的引进力度。围绕重点产业发展，加快建设良好的创新创业生态圈，积极争取省人才基金支持并发挥其引导作用，通过实行落户自由、提高安居保障、支持自主创业等方式，加大对引进科技领军人才、行业领军人才、团队核心人才、优秀企业家和职业经理人、高技能人才的政策倾斜力度。加快集聚国内外创新人才、创新企业和风险投资基金等创新创业要素，为创新创业型人才提供干事创业的舞台。依托县人才服务中心，探索建立人才服务“单一窗口”服务保障体系。</w:t>
      </w:r>
    </w:p>
    <w:p>
      <w:pPr>
        <w:ind w:firstLine="640"/>
        <w:rPr>
          <w:rFonts w:ascii="仿宋_GB2312" w:hAnsi="仿宋" w:eastAsia="仿宋_GB2312" w:cs="楷体"/>
          <w:sz w:val="32"/>
          <w:szCs w:val="32"/>
        </w:rPr>
      </w:pPr>
      <w:r>
        <w:rPr>
          <w:rFonts w:hint="eastAsia" w:ascii="仿宋_GB2312" w:hAnsi="楷体" w:eastAsia="仿宋_GB2312" w:cs="楷体"/>
          <w:b/>
          <w:sz w:val="32"/>
          <w:szCs w:val="32"/>
        </w:rPr>
        <w:t>加大本土人才培养力度。</w:t>
      </w:r>
      <w:r>
        <w:rPr>
          <w:rFonts w:hint="eastAsia" w:ascii="仿宋_GB2312" w:hAnsi="仿宋" w:eastAsia="仿宋_GB2312" w:cs="楷体"/>
          <w:sz w:val="32"/>
          <w:szCs w:val="32"/>
        </w:rPr>
        <w:t>坚持人才培养和引进“双轮驱动”，积极打造临高本土育才品牌。继续推进“南海系列”临高育才计划，实施技术更新工程，不断壮大专业技术人才队伍和创新型、技能型、实用型人才队伍。坚持一视同仁的人才政策待遇，吸引留住更多高校毕业生在临高就业创业，进一步激发和调动本地人才的主动性、积极性和创新能力。建设“候鸟型”人才工作服务站，最大限度地挖掘使用候鸟人才，为他们提供参与临高建设的便利条件，努力做到人尽其才、才尽其用。</w:t>
      </w:r>
    </w:p>
    <w:p>
      <w:pPr>
        <w:ind w:firstLine="642" w:firstLineChars="200"/>
        <w:rPr>
          <w:rFonts w:ascii="仿宋_GB2312" w:hAnsi="仿宋" w:eastAsia="仿宋_GB2312" w:cs="仿宋"/>
          <w:sz w:val="32"/>
          <w:szCs w:val="32"/>
        </w:rPr>
      </w:pPr>
      <w:r>
        <w:rPr>
          <w:rFonts w:hint="eastAsia" w:ascii="仿宋_GB2312" w:hAnsi="楷体" w:eastAsia="仿宋_GB2312" w:cs="楷体"/>
          <w:b/>
          <w:sz w:val="32"/>
          <w:szCs w:val="32"/>
        </w:rPr>
        <w:t>完善引才育才用才机制。</w:t>
      </w:r>
      <w:r>
        <w:rPr>
          <w:rFonts w:hint="eastAsia" w:ascii="仿宋_GB2312" w:hAnsi="仿宋" w:eastAsia="仿宋_GB2312" w:cs="楷体"/>
          <w:sz w:val="32"/>
          <w:szCs w:val="32"/>
        </w:rPr>
        <w:t>优化人才成长发展环境，鼓励支持符合条件的境外人员担任法定机构、事业单位、国有企业法定代表人，落实高端紧缺人才个人所得税实际税负不超过15%的政策，落实政府引进人才优惠政策承诺和子女入学、家属就业、医疗保健和住房保障等政策，激励更多的优秀人才在临高施展才华。完善贡献与所得相匹配的薪酬机制，鼓励各类企业通过股权、期权、分红等方式加大对优秀人才的激励力度。完善市场发现、市场认可、市场评价的人才机制，形成以能力、业绩、贡献为主要标准的人才评价导向，落实用人主体对人才的最终评价权，坚持不唯学历、不唯资历、不拘一格地使用人才。实施差异化区域人才政策，推动人才向基层、农村、艰苦地区流动。</w:t>
      </w:r>
    </w:p>
    <w:p>
      <w:pPr>
        <w:pStyle w:val="3"/>
        <w:spacing w:line="240" w:lineRule="auto"/>
        <w:jc w:val="center"/>
        <w:rPr>
          <w:rFonts w:ascii="楷体_GB2312" w:eastAsia="楷体_GB2312" w:cs="楷体" w:hAnsiTheme="majorEastAsia"/>
          <w:bCs/>
        </w:rPr>
      </w:pPr>
      <w:bookmarkStart w:id="42" w:name="_Toc64143017"/>
      <w:r>
        <w:rPr>
          <w:rFonts w:hint="eastAsia" w:ascii="楷体_GB2312" w:eastAsia="楷体_GB2312" w:cs="楷体" w:hAnsiTheme="majorEastAsia"/>
          <w:bCs/>
        </w:rPr>
        <w:t>第三节 大力推动数字化发展</w:t>
      </w:r>
      <w:bookmarkEnd w:id="42"/>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主动适应数字时代新趋势，实施数字经济优先发展战略，加强新型数字基础设施建设，进一步拓展数字经济发展空间，加快建设数字临高、智慧临高。</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推进数字经济新基建。</w:t>
      </w:r>
      <w:r>
        <w:rPr>
          <w:rFonts w:hint="eastAsia" w:ascii="仿宋_GB2312" w:hAnsi="仿宋" w:eastAsia="仿宋_GB2312" w:cs="仿宋_GB2312"/>
          <w:bCs/>
          <w:sz w:val="32"/>
        </w:rPr>
        <w:t>在临城、博厚、加来等重点城镇、交通枢纽建设5G商用网络，在金牌港开发区、东英国际慢城等重点园区，随项目落地实施进度同步建设5G商用网络、产业互联网和数据中心等新型数字基础设施。稳步推进5G商用网络建设逐步延伸，到2025年力争5G商用网络覆盖到全县各建制镇和重点宜居宜游美丽乡村。</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拓展数字经济发展空间。</w:t>
      </w:r>
      <w:r>
        <w:rPr>
          <w:rFonts w:hint="eastAsia" w:ascii="仿宋_GB2312" w:hAnsi="仿宋" w:eastAsia="仿宋_GB2312" w:cs="仿宋_GB2312"/>
          <w:bCs/>
          <w:sz w:val="32"/>
        </w:rPr>
        <w:t>落实海南自贸港包容审慎监管办法，加强数字资源管理，稳步推进基础电信业务开放，大力引进国内外数字科技企业，积极发展增值电信业务，面向海南及国际市场开展在线数据处理与交易。整合数据资源,推动数据流动，利用新一代数字技术，探索建设云上数字临高网络空间综合平台，打造虚拟化、可视化的云上网络临高，扩大基础公共信息数据有序开放，推动临高数字经济发展。</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加快推动数字化全面发展。</w:t>
      </w:r>
      <w:r>
        <w:rPr>
          <w:rFonts w:hint="eastAsia" w:ascii="仿宋_GB2312" w:hAnsi="仿宋" w:eastAsia="仿宋_GB2312" w:cs="仿宋_GB2312"/>
          <w:bCs/>
          <w:sz w:val="32"/>
        </w:rPr>
        <w:t>深化数字化智慧应用建设，利用5G、物联网、大数据、云计算、区块链、人工智能等新一代数字技术，建设一批新型数字化智慧示范项目，大力推进社会治理、公共服务和产业发展等领域数字化应用建设。加快发展数字经济，推进数字产业化和产业数字化，推动实体经济与数字经济深度融合，着力打造具有临高特色的数字产业集群。加快数字政府和智慧城市建设，推进数字化电子政务平台改造升级、生态环境智能监测系统、社会管理信息化平台等项目建设，提升数字治理水平。加快建设数字社会，推进数字教育、数字医疗、数字文体等项目建设，提升全体居民数字技能，实现信息公共服务和生活服务城乡全覆盖。</w:t>
      </w:r>
    </w:p>
    <w:tbl>
      <w:tblPr>
        <w:tblStyle w:val="12"/>
        <w:tblW w:w="8794" w:type="dxa"/>
        <w:jc w:val="center"/>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600" w:hRule="atLeast"/>
          <w:jc w:val="center"/>
        </w:trPr>
        <w:tc>
          <w:tcPr>
            <w:tcW w:w="8794"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专栏9  智慧临高建设重大项目</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（一）数字基建</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城乡一体化千兆光纤网、5G网络全域覆盖和异网漫游、智慧临高运营管理中心等。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（二）智慧城市</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社会管理信息化平台、城市综合管理服务与执法平台、城市应急管理综合应用平台、平安社区监管平台、“12345”网上服务平台、智能交通管理系统、时空大数据平台、雪亮工程平台、公共安全视频监控物联网应用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（三）智慧政务</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政务服务一体化平台升级、政府办公OA系统升级等。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（四）智慧农业</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智慧农业信息管理及环境灾害监管、农村农业发展服务平台、海洋（渔业）综合监管平台、智慧渔港、美丽乡村综合管理平台等。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（五）智慧水网</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城市水网信息化、智慧水务平台等。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（六）智慧公共服务</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智慧教育升级、基于5G物联网的基层医疗卫生机构能力提升等。</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（七）其它智慧应用</w:t>
            </w:r>
          </w:p>
        </w:tc>
      </w:tr>
      <w:tr>
        <w:tblPrEx>
          <w:tblCellMar>
            <w:top w:w="0" w:type="dxa"/>
            <w:left w:w="108" w:type="dxa"/>
            <w:bottom w:w="0" w:type="dxa"/>
            <w:right w:w="108" w:type="dxa"/>
          </w:tblCellMar>
        </w:tblPrEx>
        <w:trPr>
          <w:trHeight w:val="324" w:hRule="atLeast"/>
          <w:jc w:val="center"/>
        </w:trPr>
        <w:tc>
          <w:tcPr>
            <w:tcW w:w="8794"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生态环境监管平台、旅游监管与信用管理平台等。</w:t>
            </w:r>
          </w:p>
        </w:tc>
      </w:tr>
      <w:tr>
        <w:tblPrEx>
          <w:tblCellMar>
            <w:top w:w="0" w:type="dxa"/>
            <w:left w:w="108" w:type="dxa"/>
            <w:bottom w:w="0" w:type="dxa"/>
            <w:right w:w="108" w:type="dxa"/>
          </w:tblCellMar>
        </w:tblPrEx>
        <w:trPr>
          <w:trHeight w:val="300" w:hRule="atLeast"/>
          <w:jc w:val="center"/>
        </w:trPr>
        <w:tc>
          <w:tcPr>
            <w:tcW w:w="8794"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3"/>
        <w:spacing w:line="240" w:lineRule="auto"/>
        <w:jc w:val="center"/>
        <w:rPr>
          <w:rFonts w:ascii="楷体_GB2312" w:eastAsia="楷体_GB2312" w:cs="楷体" w:hAnsiTheme="majorEastAsia"/>
          <w:szCs w:val="32"/>
        </w:rPr>
      </w:pPr>
      <w:bookmarkStart w:id="43" w:name="_Toc64143018"/>
      <w:r>
        <w:rPr>
          <w:rFonts w:hint="eastAsia" w:ascii="楷体_GB2312" w:eastAsia="楷体_GB2312" w:cs="楷体" w:hAnsiTheme="majorEastAsia"/>
          <w:szCs w:val="32"/>
        </w:rPr>
        <w:t>第四节 坚决打好招商引资攻坚战</w:t>
      </w:r>
      <w:bookmarkEnd w:id="43"/>
    </w:p>
    <w:p>
      <w:pPr>
        <w:ind w:firstLine="640"/>
        <w:rPr>
          <w:rFonts w:ascii="仿宋_GB2312" w:hAnsi="仿宋" w:eastAsia="仿宋_GB2312" w:cs="楷体"/>
          <w:sz w:val="32"/>
          <w:szCs w:val="32"/>
        </w:rPr>
      </w:pPr>
      <w:r>
        <w:rPr>
          <w:rFonts w:hint="eastAsia" w:ascii="仿宋_GB2312" w:hAnsi="仿宋" w:eastAsia="仿宋_GB2312" w:cs="楷体"/>
          <w:sz w:val="32"/>
          <w:szCs w:val="32"/>
        </w:rPr>
        <w:t>进一步提高招商引资对于临高发展重大作用的认识，把招商引资作为创新驱动发展的“头等大事”和“一号工程”，树立人人都是招商员、服务员的理念，发扬脱贫攻坚精神，全力以赴抓好招商引资和重大项目建设。</w:t>
      </w:r>
    </w:p>
    <w:p>
      <w:pPr>
        <w:ind w:firstLine="640"/>
        <w:rPr>
          <w:rFonts w:ascii="仿宋_GB2312" w:hAnsi="仿宋" w:eastAsia="仿宋_GB2312" w:cs="楷体"/>
          <w:sz w:val="32"/>
          <w:szCs w:val="32"/>
        </w:rPr>
      </w:pPr>
      <w:r>
        <w:rPr>
          <w:rFonts w:hint="eastAsia" w:ascii="仿宋_GB2312" w:hAnsi="楷体" w:eastAsia="仿宋_GB2312" w:cs="楷体"/>
          <w:b/>
          <w:sz w:val="32"/>
          <w:szCs w:val="32"/>
        </w:rPr>
        <w:t>大力实施精准务实招商。</w:t>
      </w:r>
      <w:r>
        <w:rPr>
          <w:rFonts w:hint="eastAsia" w:ascii="仿宋_GB2312" w:hAnsi="仿宋" w:eastAsia="仿宋_GB2312" w:cs="楷体"/>
          <w:sz w:val="32"/>
          <w:szCs w:val="32"/>
        </w:rPr>
        <w:t>成立全县招商引资和重大项目推进工作领导小组，加强专业化招商队伍和招商专班建设，加强对招商引资和重大项目建设工作的组织领导。紧扣“三区一园”和“两港、两业、两旅、慢城”的发展思路，聚焦新产业、新业态、新动能的培育，精准掌握政策走向、市场流向和资本流向，明确招商引资工作方向和策略。依据自贸港政策优势、重大项目建设需求和落地实施承接条件匹配度，高水平谋划招商项目，建设专业招商项目库，绘制产业链招商地图，进一步明确招商引资的目标区域和目标企业。制定务实招商行动计划，精准施策开展重点企业招商、园区招商、产业链招商和以商招商，提高招商引资工作质量，快速做大经济总量。</w:t>
      </w:r>
    </w:p>
    <w:p>
      <w:pPr>
        <w:ind w:firstLine="640"/>
        <w:rPr>
          <w:rFonts w:ascii="仿宋_GB2312" w:hAnsi="仿宋" w:eastAsia="仿宋_GB2312" w:cs="楷体"/>
          <w:sz w:val="32"/>
          <w:szCs w:val="32"/>
        </w:rPr>
      </w:pPr>
      <w:r>
        <w:rPr>
          <w:rFonts w:hint="eastAsia" w:ascii="仿宋_GB2312" w:hAnsi="楷体" w:eastAsia="仿宋_GB2312" w:cs="楷体"/>
          <w:b/>
          <w:sz w:val="32"/>
          <w:szCs w:val="32"/>
        </w:rPr>
        <w:t>聚焦重点企业高质量招大引强。</w:t>
      </w:r>
      <w:r>
        <w:rPr>
          <w:rFonts w:hint="eastAsia" w:ascii="仿宋_GB2312" w:hAnsi="仿宋" w:eastAsia="仿宋_GB2312" w:cs="楷体"/>
          <w:sz w:val="32"/>
          <w:szCs w:val="32"/>
        </w:rPr>
        <w:t>围绕热带高效农业、海洋渔业、农旅文旅、新型建筑、现代海洋、现代航空、数字智能、临港（空）物流、绿色循环、高端设计等重点产业，按照引进项目的规模、盈利、税收、就业和行业影响力等标准分类制定激励和奖励政策，实施激励型招商引资工程，重点引进具有产业链整合能力的行业平台型龙头企业和掌控产业链关键技术的创新型企业，宁缺毋滥，坚决避免引进低技术水平、低市场竞争力项目。</w:t>
      </w:r>
    </w:p>
    <w:p>
      <w:pPr>
        <w:ind w:firstLine="640"/>
        <w:rPr>
          <w:rFonts w:ascii="仿宋_GB2312" w:hAnsi="仿宋" w:eastAsia="仿宋_GB2312" w:cs="楷体"/>
          <w:sz w:val="32"/>
          <w:szCs w:val="32"/>
        </w:rPr>
      </w:pPr>
      <w:r>
        <w:rPr>
          <w:rFonts w:hint="eastAsia" w:ascii="仿宋_GB2312" w:hAnsi="楷体" w:eastAsia="仿宋_GB2312" w:cs="楷体"/>
          <w:b/>
          <w:sz w:val="32"/>
          <w:szCs w:val="32"/>
        </w:rPr>
        <w:t>聚焦重点区域加快招新引群。</w:t>
      </w:r>
      <w:r>
        <w:rPr>
          <w:rFonts w:hint="eastAsia" w:ascii="仿宋_GB2312" w:hAnsi="仿宋" w:eastAsia="仿宋_GB2312" w:cs="楷体"/>
          <w:sz w:val="32"/>
          <w:szCs w:val="32"/>
        </w:rPr>
        <w:t>以“三区一园”的重点发展区域为载体，推动园区基础设施与重大产业招商项目同步规划、同步实施、同步建设，大力引进新型建筑、农渔产品深加工、海洋装备制造、航空科技、慢旅游、高端设计、数字智能、绿色循环等新型重点产业集群落地集聚，快速做大做强新兴产业集聚区。有效发挥现有龙头企业和已引进重大项目辐射带动作用，积极引进配套关联企业、人才、资本、技术等要素，加快完善产业链、供应链、服务链。</w:t>
      </w:r>
    </w:p>
    <w:p>
      <w:pPr>
        <w:ind w:firstLine="640"/>
        <w:rPr>
          <w:rFonts w:ascii="仿宋_GB2312" w:hAnsi="仿宋" w:eastAsia="仿宋_GB2312" w:cs="楷体"/>
          <w:sz w:val="32"/>
          <w:szCs w:val="32"/>
        </w:rPr>
      </w:pPr>
      <w:r>
        <w:rPr>
          <w:rFonts w:hint="eastAsia" w:ascii="仿宋_GB2312" w:hAnsi="楷体" w:eastAsia="仿宋_GB2312" w:cs="楷体"/>
          <w:b/>
          <w:sz w:val="32"/>
          <w:szCs w:val="32"/>
        </w:rPr>
        <w:t>集聚合作共赢推动以商招商。</w:t>
      </w:r>
      <w:r>
        <w:rPr>
          <w:rFonts w:hint="eastAsia" w:ascii="仿宋_GB2312" w:hAnsi="仿宋" w:eastAsia="仿宋_GB2312" w:cs="楷体"/>
          <w:sz w:val="32"/>
          <w:szCs w:val="32"/>
        </w:rPr>
        <w:t>树立租税一体观念，完善优质产业土地供给机制，借鉴上海特斯拉项目成功经验，合理控制产业用地价格，坚持规划引领、按项目供地原则，坚决杜绝招商烂尾、土地闲置、处置不易、土地炒卖等问题。建立健全招商引资和重大项目建设协调推进机制，完善“六个一”工作机制，推行从项目对接、签约、开工、建设、投产到后期跟踪服务的“招、落、服”一体化服务机制，提供“一站式”“店小二”招商服务。加强全生命周期精准服务，及时协调解决招商项目建设和后续经营发展中遇到的问题和困难，帮助企业尽快建成项目实现盈利，着力提高招商项目履约率、开工率、建成达产率和长期运营成功率，让成功事实和企业家的口碑成为临高招商引资的金字招牌。</w:t>
      </w:r>
    </w:p>
    <w:p>
      <w:pPr>
        <w:pStyle w:val="2"/>
        <w:spacing w:line="240" w:lineRule="auto"/>
        <w:ind w:firstLine="627" w:firstLineChars="196"/>
        <w:rPr>
          <w:rFonts w:ascii="黑体" w:hAnsi="黑体" w:eastAsia="黑体" w:cs="黑体"/>
          <w:b w:val="0"/>
          <w:sz w:val="32"/>
          <w:szCs w:val="32"/>
        </w:rPr>
      </w:pPr>
      <w:bookmarkStart w:id="44" w:name="_Toc32261"/>
      <w:bookmarkStart w:id="45" w:name="_Toc64143019"/>
      <w:r>
        <w:rPr>
          <w:rFonts w:hint="eastAsia" w:ascii="黑体" w:hAnsi="黑体" w:eastAsia="黑体" w:cs="黑体"/>
          <w:b w:val="0"/>
          <w:sz w:val="32"/>
          <w:szCs w:val="32"/>
        </w:rPr>
        <w:t xml:space="preserve">第六章 </w:t>
      </w:r>
      <w:bookmarkEnd w:id="44"/>
      <w:r>
        <w:rPr>
          <w:rFonts w:hint="eastAsia" w:ascii="黑体" w:hAnsi="黑体" w:eastAsia="黑体" w:cs="黑体"/>
          <w:b w:val="0"/>
          <w:sz w:val="32"/>
          <w:szCs w:val="32"/>
        </w:rPr>
        <w:t>围绕农村农业现代化，全面推进乡村振兴</w:t>
      </w:r>
      <w:bookmarkEnd w:id="45"/>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坚持把解决好“三农”问题作为工作重中之重，全面实施乡村振兴战略，推动形成城乡协调发展的新型城乡关系，走农村“三产融合”、生产生活生态“三生同步”发展之路。</w:t>
      </w:r>
    </w:p>
    <w:p>
      <w:pPr>
        <w:pStyle w:val="3"/>
        <w:spacing w:line="240" w:lineRule="auto"/>
        <w:jc w:val="center"/>
        <w:rPr>
          <w:rFonts w:ascii="楷体_GB2312" w:eastAsia="楷体_GB2312" w:cs="仿宋_GB2312" w:hAnsiTheme="majorEastAsia"/>
          <w:bCs/>
        </w:rPr>
      </w:pPr>
      <w:bookmarkStart w:id="46" w:name="_Toc64143020"/>
      <w:r>
        <w:rPr>
          <w:rFonts w:hint="eastAsia" w:ascii="楷体_GB2312" w:eastAsia="楷体_GB2312" w:cs="仿宋_GB2312" w:hAnsiTheme="majorEastAsia"/>
          <w:bCs/>
        </w:rPr>
        <w:t>第一节 巩固拓展脱贫攻坚成果</w:t>
      </w:r>
      <w:bookmarkEnd w:id="46"/>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建立健全农民参与海南自由贸易港建设的机制，坚持走共同富裕之路，坚持将巩固脱贫攻坚成果作为推动乡村振兴的首要任务。</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保持过渡期内现有主要帮扶政策总体稳定。</w:t>
      </w:r>
      <w:r>
        <w:rPr>
          <w:rFonts w:hint="eastAsia" w:ascii="仿宋_GB2312" w:hAnsi="仿宋" w:eastAsia="仿宋_GB2312" w:cs="仿宋_GB2312"/>
          <w:bCs/>
          <w:sz w:val="32"/>
        </w:rPr>
        <w:t>加强防止返贫监测和帮扶机制执行，对重点监测对象开展定期排查、动态管理，持续跟踪收支变动、“两不愁三保障”及饮水安全状况，因地制宜安排帮扶方式，对脱贫脱困群众“扶上马”“送一程”，防止返贫和新增贫困人口。积极构建解决相对贫困长效机制，实现超常规举措向常态化帮扶转变，探索广大农村地区基础设施、公共服务倾斜政策和贫困人口保障性政策逐步转化为普惠政策。健全农村社会保障和救助制度相衔接的长效机制，确保脱贫脱困群众在“两不愁三保障”的基础上生活水平逐步提高。</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大力增强脱贫脱困地区内生发展动力。</w:t>
      </w:r>
      <w:r>
        <w:rPr>
          <w:rFonts w:hint="eastAsia" w:ascii="仿宋_GB2312" w:hAnsi="仿宋" w:eastAsia="仿宋_GB2312" w:cs="仿宋_GB2312"/>
          <w:bCs/>
          <w:sz w:val="32"/>
        </w:rPr>
        <w:t>加大对农民职业技能培训力度，鼓励引导农村剩余劳动力积极参与海南自贸港建设，实现农民稳定就业和增收，确保新增就业岗位优先满足农村转移劳动力的需要。加强扶贫项目资金资产管理和监督，持续做好特色产业帮扶工作，推动特色产业可持续发展。落实好国家和省农村低收入人口和欠发达地区帮扶政策，持续改善贫困农村地区生产生活条件，推进脱贫地区发展。</w:t>
      </w:r>
    </w:p>
    <w:p>
      <w:pPr>
        <w:pStyle w:val="3"/>
        <w:spacing w:line="240" w:lineRule="auto"/>
        <w:jc w:val="center"/>
        <w:rPr>
          <w:rFonts w:ascii="楷体_GB2312" w:eastAsia="楷体_GB2312" w:cs="仿宋_GB2312" w:hAnsiTheme="majorEastAsia"/>
          <w:bCs/>
        </w:rPr>
      </w:pPr>
      <w:bookmarkStart w:id="47" w:name="_Toc64143021"/>
      <w:r>
        <w:rPr>
          <w:rFonts w:hint="eastAsia" w:ascii="楷体_GB2312" w:eastAsia="楷体_GB2312" w:cs="仿宋_GB2312" w:hAnsiTheme="majorEastAsia"/>
          <w:bCs/>
        </w:rPr>
        <w:t>第二节 推动乡村产业全面振兴</w:t>
      </w:r>
      <w:bookmarkEnd w:id="47"/>
    </w:p>
    <w:p>
      <w:pPr>
        <w:ind w:firstLine="672"/>
        <w:rPr>
          <w:rFonts w:ascii="仿宋_GB2312" w:hAnsi="仿宋" w:eastAsia="仿宋_GB2312" w:cs="仿宋_GB2312"/>
          <w:bCs/>
          <w:sz w:val="32"/>
        </w:rPr>
      </w:pPr>
      <w:r>
        <w:rPr>
          <w:rFonts w:hint="eastAsia" w:ascii="仿宋_GB2312" w:hAnsi="仿宋" w:eastAsia="仿宋_GB2312" w:cs="仿宋_GB2312"/>
          <w:bCs/>
          <w:sz w:val="32"/>
        </w:rPr>
        <w:t>深入实施一二三产业融合发展战略，推动全产业链建设、供应链完善、价值链提升、创新链延展，推动农村一产提升、二三产业充分发展，促进农村经济全面繁荣。</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着力打造农业产业化强镇强村。</w:t>
      </w:r>
      <w:r>
        <w:rPr>
          <w:rFonts w:hint="eastAsia" w:ascii="仿宋_GB2312" w:hAnsi="仿宋" w:eastAsia="仿宋_GB2312" w:cs="仿宋_GB2312"/>
          <w:bCs/>
          <w:sz w:val="32"/>
        </w:rPr>
        <w:t>坚持“镇村有产业、产业有特色、产品有市场、农民有致富项目”的“四有”思路，以市场为导向，依托龙头企业带动，继续推行“合作社+”模式，大力实施“一镇一业、一村一品”工程，巩固原有的扶贫产业基地成果，力争每个镇至少培育发展一个特色产业、每个村发展一个知名产品，打造一批品牌农产品产业化强镇、强村，实现镇村都有名优特新产业和产品。</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提升乡村旅游发展水平。</w:t>
      </w:r>
      <w:r>
        <w:rPr>
          <w:rFonts w:hint="eastAsia" w:ascii="仿宋_GB2312" w:hAnsi="仿宋" w:eastAsia="仿宋_GB2312" w:cs="仿宋_GB2312"/>
          <w:bCs/>
          <w:sz w:val="32"/>
        </w:rPr>
        <w:t>以“国际慢城”建设为引领，加强共享农庄、渔家风情、农家乐、乡村民宿、农业公园和康养基地建设，着力打造一批能够常年接待游客的“农旅”融合发展平台，加快招商引资步伐，积极引入有实力的专业运营商，大力发展高档民宿、观光农业、农事体验、客栈驿站等新模式、新业态，打造乡村旅游珍珠链。结合乡村旅游，每一个镇至少建设一个标志性的“网红打卡地”，发挥网络直播“带货引流”作用，大力引进消费流量，扩大消费总量，提升乡村旅游水平。</w:t>
      </w:r>
    </w:p>
    <w:p>
      <w:pPr>
        <w:ind w:firstLine="672"/>
        <w:rPr>
          <w:rFonts w:ascii="仿宋_GB2312" w:hAnsi="仿宋" w:eastAsia="仿宋_GB2312" w:cs="仿宋_GB2312"/>
          <w:bCs/>
          <w:sz w:val="32"/>
        </w:rPr>
      </w:pPr>
      <w:r>
        <w:rPr>
          <w:rFonts w:hint="eastAsia" w:ascii="仿宋_GB2312" w:hAnsi="楷体" w:eastAsia="仿宋_GB2312" w:cs="仿宋_GB2312"/>
          <w:b/>
          <w:bCs/>
          <w:sz w:val="32"/>
        </w:rPr>
        <w:t>大力发展农村经济新模式新业态。</w:t>
      </w:r>
      <w:r>
        <w:rPr>
          <w:rFonts w:hint="eastAsia" w:ascii="仿宋_GB2312" w:hAnsi="仿宋" w:eastAsia="仿宋_GB2312" w:cs="仿宋_GB2312"/>
          <w:bCs/>
          <w:sz w:val="32"/>
        </w:rPr>
        <w:t>实施农村一二三产业融合发展和城乡一体化融合发展战略，积极培育农村经济新增长点，推动农村经济全面繁荣。支持以农渔产品生产为主要业态的龙头企业向品牌农业产业链、价值链高端延伸，加快建设种苗繁育、农副产品深加工、冷链物流、科技研发、教育培训基地，将农业产业链增值收益、就业岗位留在临高。大力发展农村电子商务，推进国家电子商务进农村示范县项目建设，鼓励发展线上服务、线下体验以及现代物流融合的农业新零售模式。支持农产品寄递物流网络、现代化冷链寄递设施以及村级电商配送站点建设，推动电商资源、快递服务进村入户，充分利用淘宝、京东、拼多多、直播、自媒体等新型引流销售渠道，促进产城挂钩、农超对接和城乡直营。推进乡村手工业与数字化定制、网络营销深度融合，大力发展家庭工场、手工作坊、乡村车间，培育发展本土特色工艺品牌。积极探索农业社会化服务有效形式，加快发展农资供应、统防统治、代耕代种、烘干收储等农业生产性服务业。实施乡村人才振兴计划，加大农民职业技能培训力度，加快培养新型职业农民，使更多的农村青年掌握数字农业、网络农业新技术、新模式、新业态，全面提升农村科技文化水平。</w:t>
      </w:r>
    </w:p>
    <w:p>
      <w:pPr>
        <w:pStyle w:val="3"/>
        <w:spacing w:line="240" w:lineRule="auto"/>
        <w:jc w:val="center"/>
        <w:rPr>
          <w:rFonts w:ascii="楷体_GB2312" w:eastAsia="楷体_GB2312" w:cs="仿宋_GB2312" w:hAnsiTheme="majorEastAsia"/>
          <w:bCs/>
        </w:rPr>
      </w:pPr>
      <w:bookmarkStart w:id="48" w:name="_Toc64143022"/>
      <w:r>
        <w:rPr>
          <w:rFonts w:hint="eastAsia" w:ascii="楷体_GB2312" w:eastAsia="楷体_GB2312" w:cs="仿宋_GB2312" w:hAnsiTheme="majorEastAsia"/>
          <w:bCs/>
        </w:rPr>
        <w:t xml:space="preserve">第三节 </w:t>
      </w:r>
      <w:bookmarkEnd w:id="48"/>
      <w:r>
        <w:rPr>
          <w:rFonts w:hint="eastAsia" w:ascii="楷体_GB2312" w:eastAsia="楷体_GB2312" w:cs="楷体_GB2312" w:hAnsiTheme="majorEastAsia"/>
          <w:szCs w:val="32"/>
        </w:rPr>
        <w:t>全面实施乡村建设行动</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适应海南自由贸易港建设形势，以建设生态宜居美丽乡村为目标，深入实施乡村建设行动，全面提升社会主义新农村建设水平。</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推动特色产业小镇建设换挡升级。</w:t>
      </w:r>
      <w:r>
        <w:rPr>
          <w:rFonts w:hint="eastAsia" w:ascii="仿宋_GB2312" w:hAnsi="仿宋" w:eastAsia="仿宋_GB2312" w:cs="仿宋_GB2312"/>
          <w:sz w:val="32"/>
          <w:szCs w:val="32"/>
        </w:rPr>
        <w:t>围绕“三区一园”建设，着力打造以绿色发展、现代产业为引领的东英国际慢城、国际设计海岸、美夏休闲渔业示范区、国际渔港经济区、海港渔业休闲带、加来现代航空科技产业园和博厚林木花卉景观旅游小镇，多文继续推进种桑养蚕产业小镇建设。推进东英、美夏、和舍等镇墟改造，进一步完善村镇农贸市场建设。</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推进美丽乡村建设提质增效</w:t>
      </w:r>
      <w:r>
        <w:rPr>
          <w:rFonts w:hint="eastAsia" w:ascii="仿宋_GB2312" w:hAnsi="仿宋_GB2312" w:eastAsia="仿宋_GB2312" w:cs="仿宋_GB2312"/>
          <w:b/>
          <w:sz w:val="32"/>
          <w:szCs w:val="32"/>
        </w:rPr>
        <w:t>。</w:t>
      </w:r>
      <w:r>
        <w:rPr>
          <w:rFonts w:hint="eastAsia" w:ascii="仿宋_GB2312" w:hAnsi="仿宋" w:eastAsia="仿宋_GB2312" w:cs="仿宋_GB2312"/>
          <w:sz w:val="32"/>
          <w:szCs w:val="32"/>
        </w:rPr>
        <w:t>推动美丽乡村建设由宜居建设型向宜游效益型转变，集中力量建设一批能吸引游客、引进消费、致富村民的宜居宜游的国际慢村、美丽乡村、美丽渔村和水美乡村，重点推进新盈头咀、彩桥，调楼黄龙、抱才，东英博纵、兰刘，博厚乐豪、文德，临城邦浪、文书，皇桐居仁、美香，南宝松梅、光吉，多文头神、美巢，波莲美鳌、美珠，和舍镇溪尾、铺仔等11镇22个美丽乡村项目建设。</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推进农村人居环境整治持续深化</w:t>
      </w:r>
      <w:r>
        <w:rPr>
          <w:rFonts w:hint="eastAsia" w:ascii="仿宋_GB2312" w:hAnsi="仿宋_GB2312" w:eastAsia="仿宋_GB2312" w:cs="仿宋_GB2312"/>
          <w:b/>
          <w:sz w:val="32"/>
          <w:szCs w:val="32"/>
        </w:rPr>
        <w:t>。</w:t>
      </w:r>
      <w:r>
        <w:rPr>
          <w:rFonts w:hint="eastAsia" w:ascii="仿宋_GB2312" w:hAnsi="仿宋" w:eastAsia="仿宋_GB2312" w:cs="仿宋_GB2312"/>
          <w:sz w:val="32"/>
          <w:szCs w:val="32"/>
        </w:rPr>
        <w:t>建立健全农村生活垃圾、农业废弃物分类回收和资源化利用体系。统筹县域城镇和村庄规划建设，保护传统村落和乡村风貌，传承临高乡村历史记忆、地域特色和文化内涵，实现临高乡村更纯美、更有品味。加快实现村庄规划全覆盖，全面实施逢建必报制度，强化新建农房规划管控，新建住房高度不得超过三层或12米。推动农村有序建设，引导人口集聚集中居住，开展农村房屋安全隐患排查整治，全面提升农房建设质量。深化“厕所革命”，继续推进农村户用无害化卫生厕所建设和改造，同步实施粪污治理，实现无害化卫生厕所全覆盖。加强旅游风情小镇、共享农庄与椰级乡村旅游点A级旅游厕所建设，强化农村新建住房无害化户厕配套建设和农村无害化公共厕所建设管理工作，探索引入市场机制建设管护农村无害化卫生厕所。实施乡村绿化行动，全面保护古树名木，积极建设乡村公园。</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提高农村基本公共服务保障水平。</w:t>
      </w:r>
      <w:r>
        <w:rPr>
          <w:rFonts w:hint="eastAsia" w:ascii="仿宋_GB2312" w:hAnsi="仿宋" w:eastAsia="仿宋_GB2312" w:cs="仿宋_GB2312"/>
          <w:bCs/>
          <w:sz w:val="32"/>
        </w:rPr>
        <w:t>加大公共财政支出向农村倾斜力度，实施基础设施补短板工程，推动“五网”基础设施向农村地区特别是相对贫困地区延伸，加快完善乡村光、电、路、气、水、通信、物流等基础设施。加快生态建设、环境保护和教育、卫生、文化等公共资源向农村配置，进一步完善农村就业服务、社会救助和基本社会保障体系，加快缩小城乡基本公共服务差距，基本实现城乡基本公共服务均等化。</w:t>
      </w:r>
    </w:p>
    <w:p>
      <w:pPr>
        <w:pStyle w:val="3"/>
        <w:spacing w:line="240" w:lineRule="auto"/>
        <w:jc w:val="center"/>
        <w:rPr>
          <w:rFonts w:ascii="楷体_GB2312" w:eastAsia="楷体_GB2312" w:cs="仿宋_GB2312" w:hAnsiTheme="majorEastAsia"/>
          <w:bCs/>
        </w:rPr>
      </w:pPr>
      <w:bookmarkStart w:id="49" w:name="_Toc64143023"/>
      <w:r>
        <w:rPr>
          <w:rFonts w:hint="eastAsia" w:ascii="楷体_GB2312" w:eastAsia="楷体_GB2312" w:cs="仿宋_GB2312" w:hAnsiTheme="majorEastAsia"/>
          <w:bCs/>
        </w:rPr>
        <w:t>第四节 全面深化农村改革</w:t>
      </w:r>
      <w:bookmarkEnd w:id="49"/>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健全城乡融合发展机制，推动城乡要素平等交换、双向流动，全面激发农业农村发展活力。</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深化农村集体经济经营体制改革。</w:t>
      </w:r>
      <w:r>
        <w:rPr>
          <w:rFonts w:hint="eastAsia" w:ascii="仿宋_GB2312" w:hAnsi="仿宋" w:eastAsia="仿宋_GB2312" w:cs="仿宋_GB2312"/>
          <w:bCs/>
          <w:sz w:val="32"/>
        </w:rPr>
        <w:t>围绕发展新型农村集体经济，深化农村集体产权制度改革，完善农村集体资产股份权能，推进经营性资产股份合作制改革，加强农村集体资产监督管理。围绕提高农业经营规模，深化农村承包土地“三权”分置改革，全面完成土地承包经营权确权登记颁证工作，进一步规范土地流转行为、完善土地流转服务体系、提升土地流转质量和效益，探索土地股份合作、土地托管半托管、联耕联种、土地银行等多元化新型农业经营模式，推进小农户与现代农业的有机衔接，发展多种形式适度规模经营。加快推进加来农场“撤场并镇”改革，优化整合场地资源，加快场地融合发展。</w:t>
      </w:r>
    </w:p>
    <w:p>
      <w:pPr>
        <w:ind w:firstLine="642" w:firstLineChars="200"/>
        <w:rPr>
          <w:rFonts w:ascii="仿宋_GB2312" w:hAnsi="仿宋_GB2312" w:eastAsia="仿宋_GB2312" w:cs="仿宋_GB2312"/>
          <w:bCs/>
          <w:sz w:val="32"/>
        </w:rPr>
      </w:pPr>
      <w:r>
        <w:rPr>
          <w:rFonts w:hint="eastAsia" w:ascii="仿宋_GB2312" w:hAnsi="楷体" w:eastAsia="仿宋_GB2312" w:cs="仿宋_GB2312"/>
          <w:b/>
          <w:bCs/>
          <w:sz w:val="32"/>
        </w:rPr>
        <w:t>推进农村集体建设用地“三块地”改革。</w:t>
      </w:r>
      <w:r>
        <w:rPr>
          <w:rFonts w:hint="eastAsia" w:ascii="仿宋_GB2312" w:hAnsi="仿宋" w:eastAsia="仿宋_GB2312" w:cs="仿宋_GB2312"/>
          <w:bCs/>
          <w:sz w:val="32"/>
        </w:rPr>
        <w:t>围绕繁荣乡村经济，深化农民宅基地“三权分置”改革，加强住宅用地管理，推进确权登记颁证，落实集体所有权，保证农户资格权，放活经营使用权，鼓励支持通过自营、出租、入股等多种方式盘活闲置宅基地和住宅，发展非农新产业、新业态，增加农民财产性收入。围绕非农产业发展供地，深化农村集体建设用地制度改革，重点推进农村土地征收和集体经营性建设用地直接入市制度改革，加强对被征地农民生活水平和长远生计的保障，加快建立农村集体建设用地与国有建设用地平等入市、公平竞争的体制机制，为城乡一体化发展和城乡融合发展铺平道路。推进“三块地”改革集成创新，结合新盈、调楼、东英等镇全域土地综合整治，积极探索“用地指标增减挂钩调剂+土地整治+土地征收+宅基地制度改革+集体经营性建设用地入市”等综合性改革模式，在保护农民、渔民原有土地权益的前提下推进农村、渔村集体建设用地整村转化为旅游业、现代服务业和高新技术产业用地，盘活优质土地资源，为我县自贸港重大产业项目建设提供用地保障。</w:t>
      </w:r>
    </w:p>
    <w:p>
      <w:pPr>
        <w:ind w:firstLine="642" w:firstLineChars="200"/>
        <w:rPr>
          <w:rFonts w:ascii="仿宋_GB2312" w:hAnsi="仿宋" w:eastAsia="仿宋_GB2312"/>
          <w:bCs/>
          <w:sz w:val="32"/>
          <w:szCs w:val="32"/>
        </w:rPr>
      </w:pPr>
      <w:r>
        <w:rPr>
          <w:rFonts w:hint="eastAsia" w:ascii="仿宋_GB2312" w:hAnsi="楷体" w:eastAsia="仿宋_GB2312" w:cs="仿宋"/>
          <w:b/>
          <w:bCs/>
          <w:sz w:val="32"/>
          <w:szCs w:val="32"/>
        </w:rPr>
        <w:t>进一步完善农业经营体系。</w:t>
      </w:r>
      <w:r>
        <w:rPr>
          <w:rFonts w:hint="eastAsia" w:ascii="仿宋_GB2312" w:hAnsi="仿宋" w:eastAsia="仿宋_GB2312"/>
          <w:bCs/>
          <w:sz w:val="32"/>
          <w:szCs w:val="32"/>
        </w:rPr>
        <w:t>着力提升专业大户、家庭农场、合作农场、农民专业合作社等新型农业经营主体的管理经营水平，全力支持海丰、天地人等本土农业产业化龙头企业发展壮大，积极引进新龙头企业入驻临高。进一步完善“政府（规划引领、政策支持）+平台（行业领军企业）+市场主体（新型经营者或农户）+农业金融”的互助协作经营模式，推进农业经营诚信机制建设。健全农业社会化服务体系，鼓励发展农业服务专业机构，积极引进第三方机构提供市场化、专业化、规模化的农业服务。</w:t>
      </w: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829"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专栏10  乡村振兴重大工程  </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（一）巩固拓展脱贫攻坚成果</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保持过渡期内现有主要帮扶政策总体稳定，健全防止返贫监测和帮扶机制，推动超常规举措向常态化帮扶转变，建立农村社会保障和救助制度相衔接的长效机制。</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（二）产业强镇强村建设</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坚持“四有”思路，深化“一镇一业、一村一品”工程，巩固原有扶贫产业基地成果，力争每个镇至少培育发展一个特色产业、每个村发展一个知名产品，打造一批品牌农产品产业化强镇、强村，实现镇村都有名优特新产业和产品。</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（三）农村产业融合发展</w:t>
            </w:r>
          </w:p>
        </w:tc>
      </w:tr>
      <w:tr>
        <w:tblPrEx>
          <w:tblCellMar>
            <w:top w:w="0" w:type="dxa"/>
            <w:left w:w="108" w:type="dxa"/>
            <w:bottom w:w="0" w:type="dxa"/>
            <w:right w:w="108" w:type="dxa"/>
          </w:tblCellMar>
        </w:tblPrEx>
        <w:trPr>
          <w:trHeight w:val="1248"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进农村一二三产业深度融合和经济全面振兴，大力发展农资供应、农副产品精深加工、冷链物流、电子商务和休闲农业、休闲渔业、餐饮民宿、文化体验、健康养生、养老服务等产业，着力打造一批家庭工场、手工作坊、乡村车间等本土特色工艺品牌。</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（四）电商资源进村入户</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推进国家电子商务进农村示范县项目建设，支持农产品寄递物流网络、现代化冷链寄递设施以及村级电商配送站点建设，推动电商资源、快递服务进村入户。</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（五）特色产业小镇提档升级</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着力打造东英国际慢城、国际设计海岸、美夏休闲渔业示范区，新盈-调楼国际渔港经济区、海港渔业休闲带，博厚林木花卉景观旅游小镇、国家农业公园，以及加来现代航空科技产业园，推进东英、美夏、和舍等镇墟改造。</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（六）美丽乡村提质增效</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重点建设好新盈头咀、彩桥，调楼黄龙、抱才，东英博纵、兰刘，博厚乐豪、文德，临城邦浪、文书，皇桐居仁、美香，南宝松梅、光吉，多文头神、美巢，波莲美鳌、美珠，和舍镇溪尾、铺仔等11镇22个美丽乡村。</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（七）乡村人才振兴</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实施乡村人才振兴计划，加强农村青年职业培训，大力培育新型职业农民和农村致富带头人，全面提高农村居民科学文化素质。</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（八）人居环境建设</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立健全农村生活垃圾、农业废弃物分类回收和资源化利用体系，保护传统村落和乡村风貌，加快实现村庄规划全覆盖，开展农村房屋安全隐患排查整治，推进“厕所革命”全覆盖，全面保护古树名木，积极建设乡村公园。</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（九）公共服务补短板</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补齐乡村光、电、路、气、水、通信、物流、生态建设等基础设施短板，完善教育、卫生、文化和就业服务、社会救助等基本社会保障体系，缩小城乡差距，基本实现城乡基本公共服务均等化。</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（十）“三块地”改革</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深化农民宅基地“三权分置”改革，探索“用地指标增减挂钩调剂+土地整治+土地征收+宅基地制度改革+集体经营性建设用地入市”等综合性改革模式，推进新盈、调楼、东英等镇全域土地综合整治。</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center"/>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（十一）农业经营体系建设</w:t>
            </w:r>
          </w:p>
        </w:tc>
      </w:tr>
      <w:tr>
        <w:tblPrEx>
          <w:tblCellMar>
            <w:top w:w="0" w:type="dxa"/>
            <w:left w:w="108" w:type="dxa"/>
            <w:bottom w:w="0" w:type="dxa"/>
            <w:right w:w="108" w:type="dxa"/>
          </w:tblCellMar>
        </w:tblPrEx>
        <w:trPr>
          <w:trHeight w:val="948"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着力提升专业大户、家庭农场、合作农场、农民专业合作社等新型农业经营主体的管理经营水平，进一步完善“政府（规划引领、政策支持）+平台（行业领军企业）+市场主体（新型经营者或农户）+农业金融”的互助协作经营模式。</w:t>
            </w:r>
          </w:p>
        </w:tc>
      </w:tr>
      <w:tr>
        <w:tblPrEx>
          <w:tblCellMar>
            <w:top w:w="0" w:type="dxa"/>
            <w:left w:w="108" w:type="dxa"/>
            <w:bottom w:w="0" w:type="dxa"/>
            <w:right w:w="108" w:type="dxa"/>
          </w:tblCellMar>
        </w:tblPrEx>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2"/>
        <w:spacing w:line="240" w:lineRule="auto"/>
        <w:ind w:firstLine="627" w:firstLineChars="196"/>
        <w:rPr>
          <w:rFonts w:ascii="黑体" w:hAnsi="黑体" w:eastAsia="黑体" w:cs="仿宋_GB2312"/>
          <w:b w:val="0"/>
          <w:bCs/>
          <w:sz w:val="32"/>
          <w:szCs w:val="32"/>
        </w:rPr>
      </w:pPr>
      <w:bookmarkStart w:id="50" w:name="_Toc64143024"/>
      <w:r>
        <w:rPr>
          <w:rFonts w:hint="eastAsia" w:ascii="黑体" w:hAnsi="黑体" w:eastAsia="黑体" w:cs="仿宋_GB2312"/>
          <w:b w:val="0"/>
          <w:bCs/>
          <w:sz w:val="32"/>
          <w:szCs w:val="32"/>
        </w:rPr>
        <w:t>第七章 统筹区域协调发展，加快推进城乡一体化</w:t>
      </w:r>
      <w:bookmarkEnd w:id="50"/>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坚持系统观念，坚持“全省一盘棋、全岛同城化”，坚定不移走以人为核心的新型城镇化道路，以“多规合一”改革为引领，构建高质量发展的国土空间布局和支撑体系，立足区域、人口、资源、环境、产业、基础设施等条件，推进重大项目建设，建立更加有效的区域和城乡协调发展新机制。</w:t>
      </w:r>
    </w:p>
    <w:p>
      <w:pPr>
        <w:pStyle w:val="3"/>
        <w:spacing w:line="240" w:lineRule="auto"/>
        <w:jc w:val="center"/>
        <w:rPr>
          <w:rFonts w:ascii="楷体_GB2312" w:eastAsia="楷体_GB2312" w:cs="楷体" w:hAnsiTheme="majorEastAsia"/>
          <w:bCs/>
        </w:rPr>
      </w:pPr>
      <w:bookmarkStart w:id="51" w:name="_Toc64143025"/>
      <w:r>
        <w:rPr>
          <w:rFonts w:hint="eastAsia" w:ascii="楷体_GB2312" w:eastAsia="楷体_GB2312" w:cs="楷体" w:hAnsiTheme="majorEastAsia"/>
          <w:bCs/>
        </w:rPr>
        <w:t>第一节 推进新型城镇化</w:t>
      </w:r>
      <w:bookmarkEnd w:id="51"/>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以数字化为引领，推动城镇化与工业化、信息化、农业现代化深度融合、同步发展，加快实施以促进人的城镇化为核心、提高质量为导向的新型城镇化战略，着力提升城市治理水平和农业转移人口市民化质量。</w:t>
      </w:r>
    </w:p>
    <w:p>
      <w:pPr>
        <w:ind w:firstLine="642" w:firstLineChars="200"/>
        <w:rPr>
          <w:rFonts w:ascii="仿宋_GB2312" w:hAnsi="仿宋_GB2312" w:eastAsia="仿宋_GB2312" w:cs="仿宋_GB2312"/>
          <w:bCs/>
          <w:sz w:val="32"/>
        </w:rPr>
      </w:pPr>
      <w:r>
        <w:rPr>
          <w:rFonts w:hint="eastAsia" w:ascii="仿宋_GB2312" w:hAnsi="楷体" w:eastAsia="仿宋_GB2312" w:cs="仿宋_GB2312"/>
          <w:b/>
          <w:bCs/>
          <w:sz w:val="32"/>
        </w:rPr>
        <w:t>构建新型城镇化发展新格局。</w:t>
      </w:r>
      <w:r>
        <w:rPr>
          <w:rFonts w:hint="eastAsia" w:ascii="仿宋_GB2312" w:hAnsi="仿宋" w:eastAsia="仿宋_GB2312" w:cs="仿宋_GB2312"/>
          <w:bCs/>
          <w:sz w:val="32"/>
        </w:rPr>
        <w:t>主动融入“儋州-洋浦-临高-昌江-东方”临港产业发展格局，建设连接琼西“儋州-洋浦”经济中心与琼西北“海口-澄迈”经济中心的门户。发挥沿海临江优势，大力增强滨海新区和加来镇区的环境承载力和产业承载力，构建以临北大临城和临南加来航空科技产业新城为双核心，以北部海岸线为东西走向带，以文澜江为南北连接轴，以特色产业小镇和旅游风情小镇为支撑，以美丽乡村、美丽渔村为基础的“一线两岸”、“一带一轴”、“双城双核”的大“T”字新型城镇化空间布局结构，形成沿海沿江优势互补、港产城乡一体联动、南北区域协同共进的新型城镇化发展新格局，推动城乡一体化和城乡区域高质量协调发展。</w:t>
      </w:r>
    </w:p>
    <w:p>
      <w:pPr>
        <w:ind w:firstLine="640"/>
        <w:rPr>
          <w:rFonts w:ascii="仿宋_GB2312" w:hAnsi="仿宋" w:eastAsia="仿宋_GB2312" w:cs="仿宋_GB2312"/>
          <w:bCs/>
          <w:sz w:val="32"/>
        </w:rPr>
      </w:pPr>
      <w:r>
        <w:rPr>
          <w:rFonts w:hint="eastAsia" w:ascii="仿宋_GB2312" w:hAnsi="楷体" w:eastAsia="仿宋_GB2312" w:cs="仿宋_GB2312"/>
          <w:b/>
          <w:bCs/>
          <w:sz w:val="32"/>
        </w:rPr>
        <w:t>推进县城新型城镇化建设。</w:t>
      </w:r>
      <w:r>
        <w:rPr>
          <w:rFonts w:hint="eastAsia" w:ascii="仿宋_GB2312" w:hAnsi="仿宋" w:eastAsia="仿宋_GB2312" w:cs="仿宋_GB2312"/>
          <w:bCs/>
          <w:sz w:val="32"/>
        </w:rPr>
        <w:t>大力提升县城公共设施和服务能力，实施县城城镇化补短板强弱项工程，推进环境卫生设施提级扩能、市政公用设施提挡升级、公共服务设施提标扩面、产业配套设施提质增效等工程建设，大力增强县城对大临城区域特别是滨海新区海洋经济产业带发展的支撑和服务能力。编制县城老城区城市更新改造详细空间规划，提升城市设计水平，着力打造临高县城活力会客厅、文澜水岸魅力风光带。加快老城区更新改造，全面推进一江两岸老城区和江南二环路以北、临海路和临美路沿线等重点区域旧城改造和景观提升，着力打造入城新门户和景观大道，将县城老城区建成新时代创享新城、活力新区。整合县城路网体系，推进老城区骨干通道和“两路一桥”交通畅达改善工程建设，消除断头路，完善路网、停车、慢行网络，提高面向大临城区域的辐射力，促进老城区与澜江新城、滨海新区等功能组团的协调发展。加快建设文澜江高品质一江两岸景观带，结合县城老城区更新改造，实施文澜江县城河段河道整治、水生态修复、景观提升、交通缝补等重点工程，统筹安排河道沿线功能、空间、水岸、界面、景观、交通、游览路线，与文澜江入海口湿地公园有机衔接，提升城市河道生态、景观、文化、公共休闲等价值，着力将临高县城打造成滨海滨江森林湿地花园城市。</w:t>
      </w:r>
    </w:p>
    <w:p>
      <w:pPr>
        <w:ind w:firstLine="640"/>
        <w:rPr>
          <w:rFonts w:ascii="仿宋_GB2312" w:hAnsi="仿宋" w:eastAsia="仿宋_GB2312" w:cs="仿宋_GB2312"/>
          <w:bCs/>
          <w:sz w:val="32"/>
        </w:rPr>
      </w:pPr>
      <w:r>
        <w:rPr>
          <w:rFonts w:hint="eastAsia" w:ascii="仿宋_GB2312" w:hAnsi="楷体" w:eastAsia="仿宋_GB2312" w:cs="仿宋_GB2312"/>
          <w:b/>
          <w:bCs/>
          <w:sz w:val="32"/>
        </w:rPr>
        <w:t>高标准推进滨海新区建设。</w:t>
      </w:r>
      <w:r>
        <w:rPr>
          <w:rFonts w:hint="eastAsia" w:ascii="仿宋_GB2312" w:hAnsi="仿宋" w:eastAsia="仿宋_GB2312" w:cs="仿宋_GB2312"/>
          <w:bCs/>
          <w:sz w:val="32"/>
        </w:rPr>
        <w:t>实施沿海生态屏障和整体景观提升工程，着力提升临北滨海区域整体生态环境质量、景观形象和产业发展承载力，加快构建蓝色海洋经济产业带。按照国际慢城、国际湿地城市、国家森林城市建设标准，推进东英国际慢城建设、国际慢村、湿地城镇、森林城镇、美丽港区、美丽园区、美丽渔港、美丽渔村、美丽乡村建设，加快建设马袅湾国际休闲社区及健康小镇，构建升级版新型旅游风情小镇体系和新型生态园林式高新技术产业园区体系。加强城市风貌和天际线管控，除重大公共工程地标性建筑以外，将高层住宅建筑严格限制在澜江新城高层建筑东南部区域。推进滨海新区与澜江新城、临城老城区联动发展，形成优势互补、相互促进、协调共进的大临城发展新格局，着力将滨海新区打造成海南自贸港建设新样板。</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加快南部生态经济区发展。</w:t>
      </w:r>
      <w:r>
        <w:rPr>
          <w:rFonts w:hint="eastAsia" w:ascii="仿宋_GB2312" w:hAnsi="仿宋" w:eastAsia="仿宋_GB2312" w:cs="仿宋_GB2312"/>
          <w:bCs/>
          <w:sz w:val="32"/>
        </w:rPr>
        <w:t>实施临南水资源保护和森林景观提升工程，推进尧龙水库-文澜江、跃进水库-大塘河、松涛水库东干渠三大水系生态修复和环境提升，规划建设尧龙水库-文澜江上游、跃进水库-大塘河水源涵养森林湿地公园和文澜江两岸带状生态公园及滨江旅游公路，着力提升南部区域生态景观、人居环境和可持续发展承载力。加来、多文、皇桐等热带高效农业区，要大力发展品牌农业和农林畜种苗研发繁育等高端科技农业，加快发展农产品精深加工、冷链物流、市场交易、农旅融合乡村旅游、电子商务等低碳制造业和现代服务业，探索发展临空花卉景观出口创汇农业，大力提升热带农业增值效益和综合效益。南宝、和舍等林业生态经济区，要积极推进林业结构调整和老旧残次林更新换代，大力发展林下经济、生态旅游业，加快建设一批黄花梨、土沉香、粗榧、坡垒等乡土珍稀树种经济林基地，大力提高林业经济综合效益。</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建立南北区域互助协作机制。</w:t>
      </w:r>
      <w:r>
        <w:rPr>
          <w:rFonts w:hint="eastAsia" w:ascii="仿宋_GB2312" w:hAnsi="仿宋" w:eastAsia="仿宋_GB2312" w:cs="仿宋_GB2312"/>
          <w:bCs/>
          <w:sz w:val="32"/>
        </w:rPr>
        <w:t>统筹南北区域协调发展，在建设用地指标等方面全力支持滨海新区和加来西部航空枢纽发展，在公共财政和公共服务等方面加大对南宝、和舍等镇的生态补偿和政策倾斜力度，在产业协作、职业培训、劳动就业等方面增强北部沿海地区对南部区域的支持和带动。</w:t>
      </w:r>
    </w:p>
    <w:p>
      <w:pPr>
        <w:rPr>
          <w:rFonts w:ascii="仿宋_GB2312" w:hAnsi="仿宋_GB2312" w:eastAsia="仿宋_GB2312" w:cs="仿宋_GB2312"/>
          <w:bCs/>
          <w:sz w:val="32"/>
        </w:rPr>
      </w:pPr>
    </w:p>
    <w:tbl>
      <w:tblPr>
        <w:tblStyle w:val="12"/>
        <w:tblW w:w="8794" w:type="dxa"/>
        <w:jc w:val="center"/>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600" w:hRule="atLeast"/>
          <w:jc w:val="center"/>
        </w:trPr>
        <w:tc>
          <w:tcPr>
            <w:tcW w:w="8794"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专栏11  新型城镇化建设重大工程  </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（一）城镇化发展新格局</w:t>
            </w:r>
          </w:p>
        </w:tc>
      </w:tr>
      <w:tr>
        <w:tblPrEx>
          <w:tblCellMar>
            <w:top w:w="0" w:type="dxa"/>
            <w:left w:w="108" w:type="dxa"/>
            <w:bottom w:w="0" w:type="dxa"/>
            <w:right w:w="108" w:type="dxa"/>
          </w:tblCellMar>
        </w:tblPrEx>
        <w:trPr>
          <w:trHeight w:val="1248"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设连接琼西、琼西北经济中心的门户，构建以“大临城”和加来航空科技产业新城为双核心，以北部海岸线为东西走向带，以文澜江为南北连接轴，以特色产业小镇和旅游风情小镇为支撑，以美丽乡村为基础的“一线两岸”、“一带一轴”、“双城双核”的大“T”字新型城镇化空间布局结构。</w:t>
            </w:r>
          </w:p>
        </w:tc>
      </w:tr>
      <w:tr>
        <w:tblPrEx>
          <w:tblCellMar>
            <w:top w:w="0" w:type="dxa"/>
            <w:left w:w="108" w:type="dxa"/>
            <w:bottom w:w="0" w:type="dxa"/>
            <w:right w:w="108" w:type="dxa"/>
          </w:tblCellMar>
        </w:tblPrEx>
        <w:trPr>
          <w:trHeight w:val="430"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（二）县城老城区更新改造</w:t>
            </w:r>
          </w:p>
        </w:tc>
      </w:tr>
      <w:tr>
        <w:tblPrEx>
          <w:tblCellMar>
            <w:top w:w="0" w:type="dxa"/>
            <w:left w:w="108" w:type="dxa"/>
            <w:bottom w:w="0" w:type="dxa"/>
            <w:right w:w="108" w:type="dxa"/>
          </w:tblCellMar>
        </w:tblPrEx>
        <w:trPr>
          <w:trHeight w:val="2311"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重大工程：一江两岸老城区和江南二环路以北、临海路和临美路沿线等重点区域旧城改造和景观提升；老城区骨干通道和“两路一桥”交通畅达工程，消除断头路，完善路网、停车、慢行网络；文澜江县城河段河道整治、水生态修复、景观提升、交通缝补等三大工程。</w:t>
            </w:r>
            <w:r>
              <w:rPr>
                <w:rFonts w:hint="eastAsia" w:ascii="仿宋_GB2312" w:hAnsi="楷体" w:eastAsia="仿宋_GB2312" w:cs="宋体"/>
                <w:color w:val="000000"/>
                <w:kern w:val="0"/>
                <w:sz w:val="24"/>
                <w:szCs w:val="24"/>
              </w:rPr>
              <w:br w:type="textWrapping"/>
            </w:r>
            <w:r>
              <w:rPr>
                <w:rFonts w:hint="eastAsia" w:ascii="仿宋_GB2312" w:hAnsi="楷体" w:eastAsia="仿宋_GB2312" w:cs="宋体"/>
                <w:color w:val="000000"/>
                <w:kern w:val="0"/>
                <w:sz w:val="24"/>
                <w:szCs w:val="24"/>
              </w:rPr>
              <w:t xml:space="preserve">    重点项目：美台出口路改扩建项目（二期）、临海路改扩建、二环北连接路网工程、临澜湾健康大道市政工程、丽江路市政工程、金湾大道市政工程、滨江北（南）路西段改造工程、滨江中路北段改造工程、临城镇城区城中村基础设施改造工程等。</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（三）滨海新区建设</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进东英国际慢城、国际慢村、湿地城镇、森林城镇、美丽港区、美丽园区、美丽渔港、美丽渔村、美丽乡村建设，加快建设马袅湾国际休闲社区及健康小镇，构建升级版新型旅游风情小镇体系和新型生态园林式高新技术产业园区体系。</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（四）南部生态经济区</w:t>
            </w:r>
          </w:p>
        </w:tc>
      </w:tr>
      <w:tr>
        <w:tblPrEx>
          <w:tblCellMar>
            <w:top w:w="0" w:type="dxa"/>
            <w:left w:w="108" w:type="dxa"/>
            <w:bottom w:w="0" w:type="dxa"/>
            <w:right w:w="108" w:type="dxa"/>
          </w:tblCellMar>
        </w:tblPrEx>
        <w:trPr>
          <w:trHeight w:val="1005" w:hRule="atLeast"/>
          <w:jc w:val="center"/>
        </w:trPr>
        <w:tc>
          <w:tcPr>
            <w:tcW w:w="8794" w:type="dxa"/>
            <w:tcBorders>
              <w:top w:val="nil"/>
              <w:left w:val="single" w:color="auto" w:sz="4" w:space="0"/>
              <w:bottom w:val="double" w:color="auto" w:sz="6" w:space="0"/>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推进尧龙水库-文澜江、跃进水库-大塘河、松涛水库东干渠三大水系生态修复和环境提升，规划建设尧龙水库-文澜江上游、跃进水库-大塘河水源涵养森林湿地公园和文澜江两岸带状生态公园及滨江旅游公路。</w:t>
            </w:r>
          </w:p>
        </w:tc>
      </w:tr>
      <w:tr>
        <w:tblPrEx>
          <w:tblCellMar>
            <w:top w:w="0" w:type="dxa"/>
            <w:left w:w="108" w:type="dxa"/>
            <w:bottom w:w="0" w:type="dxa"/>
            <w:right w:w="108" w:type="dxa"/>
          </w:tblCellMar>
        </w:tblPrEx>
        <w:trPr>
          <w:trHeight w:val="300" w:hRule="atLeast"/>
          <w:jc w:val="center"/>
        </w:trPr>
        <w:tc>
          <w:tcPr>
            <w:tcW w:w="8794"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rPr>
          <w:rFonts w:ascii="仿宋_GB2312" w:hAnsi="仿宋_GB2312" w:eastAsia="仿宋_GB2312" w:cs="仿宋_GB2312"/>
          <w:bCs/>
          <w:sz w:val="32"/>
        </w:rPr>
      </w:pPr>
    </w:p>
    <w:p>
      <w:pPr>
        <w:pStyle w:val="3"/>
        <w:spacing w:line="240" w:lineRule="auto"/>
        <w:jc w:val="center"/>
        <w:rPr>
          <w:rFonts w:ascii="楷体_GB2312" w:eastAsia="楷体_GB2312" w:cs="楷体" w:hAnsiTheme="majorEastAsia"/>
          <w:bCs/>
        </w:rPr>
      </w:pPr>
      <w:bookmarkStart w:id="52" w:name="_Toc64143026"/>
      <w:r>
        <w:rPr>
          <w:rFonts w:hint="eastAsia" w:ascii="楷体_GB2312" w:eastAsia="楷体_GB2312" w:cs="楷体" w:hAnsiTheme="majorEastAsia"/>
          <w:bCs/>
        </w:rPr>
        <w:t>第二节 加快完善现代基础设施体系</w:t>
      </w:r>
      <w:bookmarkEnd w:id="52"/>
    </w:p>
    <w:p>
      <w:pPr>
        <w:ind w:firstLine="640" w:firstLineChars="200"/>
        <w:rPr>
          <w:rFonts w:ascii="仿宋_GB2312" w:hAnsi="仿宋" w:eastAsia="仿宋_GB2312" w:cs="楷体"/>
          <w:bCs/>
          <w:sz w:val="32"/>
        </w:rPr>
      </w:pPr>
      <w:r>
        <w:rPr>
          <w:rFonts w:hint="eastAsia" w:ascii="仿宋_GB2312" w:hAnsi="仿宋" w:eastAsia="仿宋_GB2312" w:cs="楷体"/>
          <w:bCs/>
          <w:sz w:val="32"/>
        </w:rPr>
        <w:t>围绕“两新一重”，提升交通、能源、水利互联互通服务功能，不断提高基础设施网络化、智能化、现代化水平，加快构建系统完备、高效实用、智能绿色、安全可靠的现代化基础设施体系。</w:t>
      </w:r>
    </w:p>
    <w:p>
      <w:pPr>
        <w:ind w:firstLine="642" w:firstLineChars="200"/>
        <w:rPr>
          <w:rFonts w:ascii="仿宋_GB2312" w:hAnsi="仿宋" w:eastAsia="仿宋_GB2312" w:cs="楷体"/>
          <w:bCs/>
          <w:sz w:val="32"/>
        </w:rPr>
      </w:pPr>
      <w:r>
        <w:rPr>
          <w:rFonts w:hint="eastAsia" w:ascii="仿宋_GB2312" w:hAnsi="楷体" w:eastAsia="仿宋_GB2312" w:cs="楷体"/>
          <w:b/>
          <w:bCs/>
          <w:sz w:val="32"/>
        </w:rPr>
        <w:t>大力推进交通路网重大工程建设。</w:t>
      </w:r>
      <w:r>
        <w:rPr>
          <w:rFonts w:hint="eastAsia" w:ascii="仿宋_GB2312" w:hAnsi="仿宋" w:eastAsia="仿宋_GB2312" w:cs="楷体"/>
          <w:bCs/>
          <w:sz w:val="32"/>
        </w:rPr>
        <w:t>完善国道、省道、县道等骨干交通路网，推进文临高速（G360）临高段、环岛高速西线（G98）博厚互通等重大工程建设，新开工海口至儋州高速公路临高段、黄龙大道及波莲环岛高速西线（G98）互通、国道G360临高县波莲至博厚连接线、省道S505临高县金牌港至金牌互通改建、省道S217临高县美台至加来段改建、省道S211临高县波莲至南宝段改建、省道S211临高县波莲至东英接X311北延、县道X303金牌互通至多文段改建、县道X302新盈至调楼海湾大桥等重大工程。修复马袅河入海口生态环境，清除马袅湾低坡阻流道路，规划建设架空桥。完善农村路网，新建南宝至和舍三级公路，改扩建通行政村双车道公路，加快建设“四好农村路”。推进交通干线绿化景观提升工程建设，对全县境内国道G98、G225、省道S306、S211、S217和12条县道等交通干线以及互通、出口路、叉口、车站等结点区域进行绿化改造和景观提升，沿线电缆下沉入地。完善公共交通服务网络建设。加快公路交通枢纽建设，迁建临高汽车站，新建东英客运站（国际慢城游客集散中心）。完善公交服务网络，以临城、东英、博厚、加来为枢纽，加快推进乡镇公交车站建设，实现各镇墟公交车全覆盖。依据发展需求，适时开通加来至海口、儋州和临城至海口、洋浦的公交车。完善道路交通服务体系，加强各类公路的管理、养护、清洁和维修。</w:t>
      </w:r>
    </w:p>
    <w:p>
      <w:pPr>
        <w:ind w:firstLine="640" w:firstLineChars="200"/>
        <w:rPr>
          <w:rFonts w:ascii="仿宋" w:hAnsi="仿宋" w:eastAsia="仿宋" w:cs="楷体"/>
          <w:bCs/>
          <w:sz w:val="32"/>
        </w:rPr>
      </w:pP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楷体" w:hAnsi="楷体" w:eastAsia="楷体" w:cs="宋体"/>
                <w:b/>
                <w:bCs/>
                <w:color w:val="000000"/>
                <w:kern w:val="0"/>
                <w:sz w:val="28"/>
                <w:szCs w:val="28"/>
              </w:rPr>
            </w:pPr>
            <w:r>
              <w:rPr>
                <w:rFonts w:hint="eastAsia" w:ascii="楷体" w:hAnsi="楷体" w:eastAsia="楷体" w:cs="宋体"/>
                <w:b/>
                <w:bCs/>
                <w:color w:val="000000"/>
                <w:kern w:val="0"/>
                <w:sz w:val="28"/>
                <w:szCs w:val="28"/>
              </w:rPr>
              <w:t xml:space="preserve">专栏12  交通路网重大工程项目  </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（一）骨干路网</w:t>
            </w:r>
          </w:p>
        </w:tc>
      </w:tr>
      <w:tr>
        <w:tblPrEx>
          <w:tblCellMar>
            <w:top w:w="0" w:type="dxa"/>
            <w:left w:w="108" w:type="dxa"/>
            <w:bottom w:w="0" w:type="dxa"/>
            <w:right w:w="108" w:type="dxa"/>
          </w:tblCellMar>
        </w:tblPrEx>
        <w:trPr>
          <w:trHeight w:val="187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建成文临高速（G360）临高段、环岛高速西线（G98）博厚互通等重大工程，开工建设海口至儋州高速公路临高段、黄龙大道及波莲环岛高速西线（G98）互通、国道G360临高县波莲至博厚连接线、省道S505临高县金牌港至金牌互通改建、省道S217临高县美台至加来段改建、省道S211临高县波莲至南宝段改建、省道S211临高县波莲至东英接X311北延、县道X303金牌互通至多文段改建、县道X302新盈至调楼海湾大桥等重大工程。</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（二）农村路网</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新建南宝至和舍三级公路，改扩建通行政村双车道公路，建设多文镇二十六队桥；拆除马袅湾低坡阻流道路，规划建设环境保护架空桥。</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（三）交通干线绿化景观提升</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对全县境内国道G98、G225、省道S306、S211、S217和12条县道等交通干线以及互通、出口路、叉口、车站等结点区域进行绿化改造和景观提升，沿线电缆下沉入地。</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（四）公路交通枢纽</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迁建临高汽车站，新建东英客运站（国际慢城游客集散中心）。</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ind w:firstLine="360" w:firstLineChars="15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（五）公交服务网络</w:t>
            </w:r>
          </w:p>
        </w:tc>
      </w:tr>
      <w:tr>
        <w:tblPrEx>
          <w:tblCellMar>
            <w:top w:w="0" w:type="dxa"/>
            <w:left w:w="108" w:type="dxa"/>
            <w:bottom w:w="0" w:type="dxa"/>
            <w:right w:w="108" w:type="dxa"/>
          </w:tblCellMar>
        </w:tblPrEx>
        <w:trPr>
          <w:trHeight w:val="636"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以临城、东英、博厚、加来为枢纽，加快推进乡镇公交车站建设，实现各镇墟公交车全覆盖。</w:t>
            </w:r>
          </w:p>
        </w:tc>
      </w:tr>
      <w:tr>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ind w:firstLine="642" w:firstLineChars="200"/>
        <w:rPr>
          <w:rFonts w:ascii="仿宋_GB2312" w:hAnsi="仿宋" w:eastAsia="仿宋_GB2312" w:cs="楷体"/>
          <w:bCs/>
          <w:sz w:val="32"/>
        </w:rPr>
      </w:pPr>
      <w:r>
        <w:rPr>
          <w:rFonts w:hint="eastAsia" w:ascii="仿宋_GB2312" w:hAnsi="楷体" w:eastAsia="仿宋_GB2312" w:cs="楷体"/>
          <w:b/>
          <w:bCs/>
          <w:sz w:val="32"/>
        </w:rPr>
        <w:t>提升水网建设水平。</w:t>
      </w:r>
      <w:r>
        <w:rPr>
          <w:rFonts w:hint="eastAsia" w:ascii="仿宋_GB2312" w:hAnsi="仿宋" w:eastAsia="仿宋_GB2312" w:cs="楷体"/>
          <w:bCs/>
          <w:sz w:val="32"/>
        </w:rPr>
        <w:t>加快构建“两脉系三湖，百支润五域，外调内环，调控自如”的现代水网结构，扩大水资源总量，拓展水资源景观功能，提升水资源配置能力，促进水资源节约高效利用，切实保障生产生活用水安全。完善水源工程建设，实施尧龙水库和小型水库除险加固工程，规划建设迈湾水库连通跃进等东南部水库工程，增强蓄水、引水和调水能力。推进城乡一体化供水工程，扩建临城水厂，新建滨海水厂和南部水厂，建设三大水厂配套管网工程，加快骨干水源供水管网延伸，逐步替代地下水供水厂和村庄分散供水点，推进大中型灌区现代化改造，加快构建城乡供水“一张网”。加强防洪(潮）除涝工程建设，加快建设文澜江、金牌港、城区等重点区域防洪除涝重大项目，重点实施城区排涝综合治理、百仞滩河段防洪综合整治、2#桥至龙力坝河段防洪、出海口段防洪、1号2号旧桥改造、马袅河防洪整治、头铺溪下游段整治及分洪道水系连通等工程，新建金牌港等防潮堤，加固调楼等防潮堤。推进智慧水网建设，加快推进智慧水务平台建设，推进水务资源智能感知平台、水务调度控制中心、基础设施与数据中心、水务核心业务系统和内外网门户等工程建设，全面加强智能感知监测检查能力建设，打造一个集多种功能于一身的集中管理和统一调度数字化综合信息平台，构建共享、安全、可靠、实用的水务数据资源中心，全面提升水务核心业务工作能力数字化、智能化、现代化水平。</w:t>
      </w:r>
    </w:p>
    <w:p>
      <w:pPr>
        <w:rPr>
          <w:rFonts w:ascii="仿宋_GB2312" w:hAnsi="仿宋" w:eastAsia="仿宋_GB2312" w:cs="楷体"/>
          <w:bCs/>
          <w:sz w:val="32"/>
        </w:rPr>
      </w:pPr>
    </w:p>
    <w:tbl>
      <w:tblPr>
        <w:tblStyle w:val="12"/>
        <w:tblW w:w="8794" w:type="dxa"/>
        <w:jc w:val="center"/>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814" w:hRule="atLeast"/>
          <w:jc w:val="center"/>
        </w:trPr>
        <w:tc>
          <w:tcPr>
            <w:tcW w:w="8794"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专栏13  水利建设重大工程  </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（一）现代水网布局结构</w:t>
            </w:r>
          </w:p>
        </w:tc>
      </w:tr>
      <w:tr>
        <w:tblPrEx>
          <w:tblCellMar>
            <w:top w:w="0" w:type="dxa"/>
            <w:left w:w="108" w:type="dxa"/>
            <w:bottom w:w="0" w:type="dxa"/>
            <w:right w:w="108" w:type="dxa"/>
          </w:tblCellMar>
        </w:tblPrEx>
        <w:trPr>
          <w:trHeight w:val="1620"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加快构建“两脉系三湖，百支润五域，外调内环，调控自如”的现代水网结构。两脉：文澜江和松涛东干渠两大主要水系；三湖：跃进、尧龙、抱美3个中型水库，是城乡供水主要水源；百支：大塘河、文科河、加来河、马袅河等近百条中小河流；五域：文澜江、大塘河、马袅河、文科河、滨海平原等5大流域生态；多点：众多小水库和坑塘。</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（二）水系连通</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规划建设迈湾水库连通跃进等东南部水库工程。</w:t>
            </w:r>
          </w:p>
        </w:tc>
      </w:tr>
      <w:tr>
        <w:tblPrEx>
          <w:tblCellMar>
            <w:top w:w="0" w:type="dxa"/>
            <w:left w:w="108" w:type="dxa"/>
            <w:bottom w:w="0" w:type="dxa"/>
            <w:right w:w="108" w:type="dxa"/>
          </w:tblCellMar>
        </w:tblPrEx>
        <w:trPr>
          <w:trHeight w:val="376"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（三）城乡一体化供水工程</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扩建临城水厂，新建滨海水厂和南部水厂，建设三大水厂配套管网工程，加快骨干水源供水管网延伸，逐步替代地下水供水厂和村庄分散供水点，加快构建城乡供水“一张网”。</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（四）防洪(潮）排涝</w:t>
            </w:r>
          </w:p>
        </w:tc>
      </w:tr>
      <w:tr>
        <w:tblPrEx>
          <w:tblCellMar>
            <w:top w:w="0" w:type="dxa"/>
            <w:left w:w="108" w:type="dxa"/>
            <w:bottom w:w="0" w:type="dxa"/>
            <w:right w:w="108" w:type="dxa"/>
          </w:tblCellMar>
        </w:tblPrEx>
        <w:trPr>
          <w:trHeight w:val="1260" w:hRule="atLeast"/>
          <w:jc w:val="center"/>
        </w:trPr>
        <w:tc>
          <w:tcPr>
            <w:tcW w:w="8794" w:type="dxa"/>
            <w:tcBorders>
              <w:top w:val="nil"/>
              <w:left w:val="single" w:color="auto" w:sz="4" w:space="0"/>
              <w:bottom w:val="double" w:color="auto" w:sz="6" w:space="0"/>
              <w:right w:val="single" w:color="auto" w:sz="4" w:space="0"/>
            </w:tcBorders>
            <w:shd w:val="clear" w:color="000000" w:fill="DDEBF7"/>
            <w:vAlign w:val="bottom"/>
          </w:tcPr>
          <w:p>
            <w:pPr>
              <w:widowControl/>
              <w:ind w:firstLine="48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加快建设文澜江、金牌港、城区等重点区域防洪除涝重大项目，重点实施城区排涝综合治理、百仞滩河段防洪综合整治、2#桥至龙力坝河段防洪、出海口段防洪、1号2号旧桥改造、马袅河防洪整治、头铺溪下游段整治及分洪道水系连通等工程，新建金牌港等防潮堤，加固调楼等防潮堤，建设新盈镇康达河防波堤。</w:t>
            </w:r>
          </w:p>
          <w:p>
            <w:pPr>
              <w:widowControl/>
              <w:ind w:firstLine="48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（五）大中型灌区现代化改造。</w:t>
            </w:r>
          </w:p>
          <w:p>
            <w:pPr>
              <w:widowControl/>
              <w:ind w:firstLine="48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实施松涛灌区临高片区及中兴灌区现代化改造，提升灌溉调度、节水改造能力，实现智慧化管理。</w:t>
            </w:r>
          </w:p>
        </w:tc>
      </w:tr>
      <w:tr>
        <w:tblPrEx>
          <w:tblCellMar>
            <w:top w:w="0" w:type="dxa"/>
            <w:left w:w="108" w:type="dxa"/>
            <w:bottom w:w="0" w:type="dxa"/>
            <w:right w:w="108" w:type="dxa"/>
          </w:tblCellMar>
        </w:tblPrEx>
        <w:trPr>
          <w:trHeight w:val="300" w:hRule="atLeast"/>
          <w:jc w:val="center"/>
        </w:trPr>
        <w:tc>
          <w:tcPr>
            <w:tcW w:w="8794"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ind w:firstLine="481" w:firstLineChars="150"/>
        <w:rPr>
          <w:rFonts w:ascii="仿宋_GB2312" w:hAnsi="仿宋" w:eastAsia="仿宋_GB2312" w:cs="楷体"/>
          <w:bCs/>
          <w:sz w:val="32"/>
        </w:rPr>
      </w:pPr>
      <w:r>
        <w:rPr>
          <w:rFonts w:hint="eastAsia" w:ascii="仿宋_GB2312" w:hAnsi="楷体" w:eastAsia="仿宋_GB2312" w:cs="楷体"/>
          <w:b/>
          <w:bCs/>
          <w:sz w:val="32"/>
        </w:rPr>
        <w:t>加快建设现代能源保障体系。</w:t>
      </w:r>
      <w:r>
        <w:rPr>
          <w:rFonts w:hint="eastAsia" w:ascii="仿宋_GB2312" w:hAnsi="仿宋" w:eastAsia="仿宋_GB2312" w:cs="楷体"/>
          <w:bCs/>
          <w:sz w:val="32"/>
        </w:rPr>
        <w:t>推进智能电网建设，努力增加能源供给，完善新能源和清洁能源服务网络，加快构建现代能源保障体系。加快推进智能电网建设。大力推进电网数字化、智能化、现代化升级改造，加快建设城乡一体化智能、高效、可靠、绿色电网，全面改造提升城乡电网，重点推进全力保障“三区一园”和“两港、两业、两旅、慢城”建设以及城乡居民生活用电需求，至2025年全县供电可靠率达到99.86%，高压配电网“N-1”通过率、配电自动化有效覆盖率达到100%，中压线路环网率和可转供电率达到96.74%，用户年均停电时间和线损率分别降至12小时和6%。全力支持电网改造升级，及时将电网建设规划项目纳入国土空间规划，对于城镇配电网改造项目在立项、审批、用地保障等方面给予特殊支持。加快推进电缆沟建设工程，对于新建骨干公路和旧城改造项目必须同步建设地下电缆、通信、供排水等地下管道工程或预留相应的建设用地，为电缆入地工程实施尽可能地提供便利条件。加强重大能源工程建设，支持福山油田在临高加大石油天然气勘探开发力度，支持环宇新能源扩能增效、发展生物质航空燃料油，加快推进海南宁能生物质发电项目建设，努力增加石油天然气和生物质能源有效供给。推进清洁能源汽车基础设施服务网络建设。合理布局城区、园区、旅游区等重点区域充电站（桩）、加气（氢）站等基础设施建设，保障公务车、公交车、轻型物流车、出租车、环卫车、自驾游、居民家用等各类新能源汽车和清洁能源汽车发展需求，为2030年全面“禁售燃油”车打好基础。推进覆盖城乡的天然气供气管网建设，以临城、金牌、加来、多文等重点城镇骨干管道为重点，推进天然气管网延伸工程建设，全面补齐城乡燃气基础设施建设短板，按照“宜管则管、宜罐则罐”原则，全面提升城乡居民燃气普及率，到2025年实现全县城乡居民燃气使用率达到全省平均水平，全面达成“气代柴薪”目标。</w:t>
      </w:r>
    </w:p>
    <w:p>
      <w:pPr>
        <w:ind w:firstLine="480" w:firstLineChars="150"/>
        <w:rPr>
          <w:rFonts w:ascii="仿宋_GB2312" w:hAnsi="仿宋" w:eastAsia="仿宋_GB2312" w:cs="楷体"/>
          <w:bCs/>
          <w:sz w:val="32"/>
        </w:rPr>
      </w:pP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专栏14  能源保障重大工程  </w:t>
            </w:r>
          </w:p>
        </w:tc>
      </w:tr>
      <w:tr>
        <w:tblPrEx>
          <w:tblCellMar>
            <w:top w:w="0" w:type="dxa"/>
            <w:left w:w="108" w:type="dxa"/>
            <w:bottom w:w="0" w:type="dxa"/>
            <w:right w:w="108" w:type="dxa"/>
          </w:tblCellMar>
        </w:tblPrEx>
        <w:trPr>
          <w:trHeight w:val="419"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（一）高压配电网</w:t>
            </w:r>
          </w:p>
        </w:tc>
      </w:tr>
      <w:tr>
        <w:tblPrEx>
          <w:tblCellMar>
            <w:top w:w="0" w:type="dxa"/>
            <w:left w:w="108" w:type="dxa"/>
            <w:bottom w:w="0" w:type="dxa"/>
            <w:right w:w="108" w:type="dxa"/>
          </w:tblCellMar>
        </w:tblPrEx>
        <w:trPr>
          <w:trHeight w:val="187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110kV输变电工程：新建临城所澜江新城、博厚所金牌东港、加来所美山、新盈所新盈输变电和博厚所永边线路工程，扩建博厚所马袅站变电站#2主变工程。</w:t>
            </w:r>
            <w:r>
              <w:rPr>
                <w:rFonts w:hint="eastAsia" w:ascii="仿宋_GB2312" w:hAnsi="楷体" w:eastAsia="仿宋_GB2312" w:cs="宋体"/>
                <w:color w:val="000000"/>
                <w:kern w:val="0"/>
                <w:sz w:val="24"/>
                <w:szCs w:val="24"/>
              </w:rPr>
              <w:br w:type="textWrapping"/>
            </w:r>
            <w:r>
              <w:rPr>
                <w:rFonts w:hint="eastAsia" w:ascii="仿宋_GB2312" w:hAnsi="楷体" w:eastAsia="仿宋_GB2312" w:cs="宋体"/>
                <w:color w:val="000000"/>
                <w:kern w:val="0"/>
                <w:sz w:val="24"/>
                <w:szCs w:val="24"/>
              </w:rPr>
              <w:t xml:space="preserve">    35kV输变电工程：新建多文所龙波输变电、博厚所金牌变电站第二电源线路、东英站至临高角站线路、调楼所美良站接龙力至新盈线路工程，实施博厚所金牌站、调楼所美良变电站、城郊所东英变电站#2主变、加来所和舍变电站#2主变增容扩建工程。</w:t>
            </w:r>
          </w:p>
        </w:tc>
      </w:tr>
      <w:tr>
        <w:tblPrEx>
          <w:tblCellMar>
            <w:top w:w="0" w:type="dxa"/>
            <w:left w:w="108" w:type="dxa"/>
            <w:bottom w:w="0" w:type="dxa"/>
            <w:right w:w="108" w:type="dxa"/>
          </w:tblCellMar>
        </w:tblPrEx>
        <w:trPr>
          <w:trHeight w:val="399"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（二）中压配电网</w:t>
            </w:r>
          </w:p>
        </w:tc>
      </w:tr>
      <w:tr>
        <w:tblPrEx>
          <w:tblCellMar>
            <w:top w:w="0" w:type="dxa"/>
            <w:left w:w="108" w:type="dxa"/>
            <w:bottom w:w="0" w:type="dxa"/>
            <w:right w:w="108" w:type="dxa"/>
          </w:tblCellMar>
        </w:tblPrEx>
        <w:trPr>
          <w:trHeight w:val="1248"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变电站新出中压线路工程：新建10kV新出中压线路37回、电缆线路99.06km、架空线路50.66km，新建智能型环网柜25台、断路器22个、故障指示器6个。</w:t>
            </w:r>
            <w:r>
              <w:rPr>
                <w:rFonts w:hint="eastAsia" w:ascii="仿宋_GB2312" w:hAnsi="楷体" w:eastAsia="仿宋_GB2312" w:cs="宋体"/>
                <w:color w:val="000000"/>
                <w:kern w:val="0"/>
                <w:sz w:val="24"/>
                <w:szCs w:val="24"/>
              </w:rPr>
              <w:br w:type="textWrapping"/>
            </w:r>
            <w:r>
              <w:rPr>
                <w:rFonts w:hint="eastAsia" w:ascii="仿宋_GB2312" w:hAnsi="楷体" w:eastAsia="仿宋_GB2312" w:cs="宋体"/>
                <w:color w:val="000000"/>
                <w:kern w:val="0"/>
                <w:sz w:val="24"/>
                <w:szCs w:val="24"/>
              </w:rPr>
              <w:t xml:space="preserve">    中压配电网改造工程：新建改造电缆线路52.612km，架空线路105.204km，新增智能型环网柜27台、断路器74个。</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（三）低压配电网</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新建改造配变673台、台区792个、低压线路224.799km，新增配变容量207.165MVA。</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（四）电缆沟</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续建城郊电网改造电缆沟、乡镇电网改造电缆沟（一、二期）等项目。</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（五）能源项目</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福山油田石油天然气勘探开发、支持环宇新能源扩建、海南宁能生物质发电等项目。</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（六）新能源汽车充电基础设施</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合理布局重点区域充电站（桩）、加气（氢）站等基础设施建设，保障各类新能源汽车和清洁能源汽车发展需求，为2030年全面“禁售燃油”车打好基础。</w:t>
            </w:r>
          </w:p>
        </w:tc>
      </w:tr>
      <w:tr>
        <w:tblPrEx>
          <w:tblCellMar>
            <w:top w:w="0" w:type="dxa"/>
            <w:left w:w="108" w:type="dxa"/>
            <w:bottom w:w="0" w:type="dxa"/>
            <w:right w:w="108" w:type="dxa"/>
          </w:tblCellMar>
        </w:tblPrEx>
        <w:trPr>
          <w:trHeight w:val="413"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（七）天然气管网</w:t>
            </w:r>
          </w:p>
        </w:tc>
      </w:tr>
      <w:tr>
        <w:tblPrEx>
          <w:tblCellMar>
            <w:top w:w="0" w:type="dxa"/>
            <w:left w:w="108" w:type="dxa"/>
            <w:bottom w:w="0" w:type="dxa"/>
            <w:right w:w="108" w:type="dxa"/>
          </w:tblCellMar>
        </w:tblPrEx>
        <w:trPr>
          <w:trHeight w:val="872"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以临城、金牌、加来、多文等重点城镇骨干管道为重点，推进天然气管网延伸工程建设，全面补齐城乡燃气基础设施建设短板，到2025年实现全县城乡居民燃气使用率达到全省平均水平。</w:t>
            </w:r>
          </w:p>
        </w:tc>
      </w:tr>
      <w:tr>
        <w:tblPrEx>
          <w:tblCellMar>
            <w:top w:w="0" w:type="dxa"/>
            <w:left w:w="108" w:type="dxa"/>
            <w:bottom w:w="0" w:type="dxa"/>
            <w:right w:w="108" w:type="dxa"/>
          </w:tblCellMar>
        </w:tblPrEx>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3"/>
        <w:spacing w:line="240" w:lineRule="auto"/>
        <w:jc w:val="center"/>
        <w:rPr>
          <w:rFonts w:ascii="楷体_GB2312" w:eastAsia="楷体_GB2312" w:cs="楷体" w:hAnsiTheme="majorEastAsia"/>
          <w:bCs/>
        </w:rPr>
      </w:pPr>
      <w:bookmarkStart w:id="53" w:name="_Toc64143027"/>
      <w:r>
        <w:rPr>
          <w:rFonts w:hint="eastAsia" w:ascii="楷体_GB2312" w:eastAsia="楷体_GB2312" w:cs="楷体" w:hAnsiTheme="majorEastAsia"/>
          <w:bCs/>
        </w:rPr>
        <w:t>第三节 全面提升城乡规划管理建设水平</w:t>
      </w:r>
      <w:bookmarkEnd w:id="53"/>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把人民生命安全和身体健康作为城乡规划管理建设的基础目标，以绣花功夫加强城市规划、建设、管理，推动城市治理体系和治理能力现代化，使城市更健康、更安全、更宜居。</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加快农业转移人口市民化。</w:t>
      </w:r>
      <w:r>
        <w:rPr>
          <w:rFonts w:hint="eastAsia" w:ascii="仿宋_GB2312" w:hAnsi="仿宋" w:eastAsia="仿宋_GB2312" w:cs="仿宋_GB2312"/>
          <w:bCs/>
          <w:sz w:val="32"/>
        </w:rPr>
        <w:t>按照比较优势最大化的原则，统筹城乡建设和区域发展，在规划建设、社区管理和公共服务等领域取消双重标准，逐步实行城乡一体化统一标准，把全县按照一个城市、把农村按照郊区实施统一的规划、建设和管理。全面取消城镇落户限制，落实以公民身份证号码为唯一标识、全岛统一的居住证制度。落实财政转移支付和城镇新增建设用地规模与农业转移人口市民化挂钩政策，保障进城落户农民土地承包权、宅基地使用权、集体收益分配权等基本权益，鼓励依法自愿有偿转让，及时将进城落户居民纳入城镇基本公共服务覆盖范围，推动人口、资本、信息、产业加快向临城、加来等重点城镇集聚，加快农业转移人口市民化。加强农业转移人口职业技能和科技文化培训，完善政府购买就业培训服务制度，提高农业转移人口素质和融入城镇能力。</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加快建立国土空间规划体系。</w:t>
      </w:r>
      <w:r>
        <w:rPr>
          <w:rFonts w:hint="eastAsia" w:ascii="仿宋_GB2312" w:hAnsi="仿宋" w:eastAsia="仿宋_GB2312" w:cs="仿宋_GB2312"/>
          <w:bCs/>
          <w:sz w:val="32"/>
        </w:rPr>
        <w:t>落实国家和区域战略要求，完成临高县国土空间总体规划编制，结合实际适时推动开展乡镇国土空间总体规划以及专项规划、详细规划（含村庄规划），形成县级-乡镇级国土空间总体规划体系，为全县自然资源开发保护利用、塑造高品质国土空间、加强空间协同治理水平提供基本依据，为“三区一园”建设提供空间保障。依据全县国土空间规划，高水平编制临城老城区更新改造、东英国际慢城、金牌港开发区、加来西部航空枢纽等重点发展功能区的详细空间规划，加强规划对重点开发建设活动的引领，强化对具体地块用途和开发建设强度的管控和约束。完善村庄实用性详细规划，加强村庄建筑高度、风貌、景观管控，丰富民居设计图库，鼓励使用政府推荐建房方案。对临城、东英、加来等重点城镇更新改造和产业新区建设，要加强城市设计，统筹基础设施与公共服务、地上建筑与地下管网、产业发展与居民社区、公众休闲与绿地景观等建设的规划设计。</w:t>
      </w:r>
    </w:p>
    <w:p>
      <w:pPr>
        <w:ind w:firstLine="642" w:firstLineChars="200"/>
        <w:rPr>
          <w:rFonts w:ascii="仿宋_GB2312" w:hAnsi="仿宋_GB2312" w:eastAsia="仿宋_GB2312" w:cs="仿宋_GB2312"/>
          <w:bCs/>
          <w:sz w:val="32"/>
        </w:rPr>
      </w:pPr>
      <w:r>
        <w:rPr>
          <w:rFonts w:hint="eastAsia" w:ascii="仿宋_GB2312" w:hAnsi="楷体" w:eastAsia="仿宋_GB2312" w:cs="仿宋_GB2312"/>
          <w:b/>
          <w:bCs/>
          <w:sz w:val="32"/>
        </w:rPr>
        <w:t>提高城乡建设质量和品质。</w:t>
      </w:r>
      <w:r>
        <w:rPr>
          <w:rFonts w:hint="eastAsia" w:ascii="仿宋_GB2312" w:hAnsi="仿宋" w:eastAsia="仿宋_GB2312" w:cs="仿宋_GB2312"/>
          <w:bCs/>
          <w:sz w:val="32"/>
        </w:rPr>
        <w:t>推进绿色生态城镇建设，增强防洪排涝能力，建设海绵城市、韧性城市。实施城市更新行动，推动国土空间提质增效，加快县城旧城区更新改造，强化历史文化保护、塑造城市风貌，完善旧城区商业配套，提升公共服务能力。持续提升澜江新城建设品质、品味，推动人口、产业和资源要素等向澜江新城聚集，扩大新城区人流、物流、商圈，打造临高城市“新名片”。着力打造新盈、调楼、加来、博厚等一批特色风情小镇，加强古镇古村、特色民居、古迹文物和自然风貌保护，实现城镇与旅游度假区、景区、产业园区融合互动、协调发展。</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提升城乡建设工程质量。</w:t>
      </w:r>
      <w:r>
        <w:rPr>
          <w:rFonts w:hint="eastAsia" w:ascii="仿宋_GB2312" w:hAnsi="仿宋" w:eastAsia="仿宋_GB2312" w:cs="仿宋_GB2312"/>
          <w:bCs/>
          <w:sz w:val="32"/>
        </w:rPr>
        <w:t>完善工程质量安全管理制度，落实建设单位、勘察单位、设计单位、施工单位、工程监理单位和建材生产单位、供应单位、检测检验单位等八方主体责任终身制，推行法人授权书、质量终身承诺书、竣工标志牌和工程质量巡查制度，加强对工程建设全过程的质量监管。推进工程建设组织模式创新，推行工程总承包，完善专业分包制度，积极发展全过程工程咨询和专业化服务，在民用建筑工程中推进建筑师负责制。完善招标投标制度，严厉打击围标、串标和虚假招标等违法行为。加强工程设计建造管理，完善建筑设计方案审查论证机制，严禁政府投资项目超标准建设，严格控制超高层建筑建设，创建建筑品质示范工程，加大对优秀设计建造企业、项目和个人的表彰力度。推行绿色建造方式，推动金牌港开发区做大做强装配式建筑产业，大力推广装配式建筑，积极稳妥推广钢结构建筑，倡导发展现代木结构建筑，大幅度提高环保节能绿色建材产品使用比例，减少建筑垃圾和扬尘污染，缩短建造工期，提升工程质量。促进建筑业科技创新，推进建筑信息模型（BIM）、大数据、移动互联网、云计算、物联网、人工智能等技术在设计、施工、运维全过程的集成应用，推广工程建设数字化成果交付与应用，提升建筑业数字化水平。</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全面实施质量强县和标准化战略。</w:t>
      </w:r>
      <w:r>
        <w:rPr>
          <w:rFonts w:hint="eastAsia" w:ascii="仿宋_GB2312" w:hAnsi="仿宋" w:eastAsia="仿宋_GB2312" w:cs="仿宋_GB2312"/>
          <w:bCs/>
          <w:sz w:val="32"/>
        </w:rPr>
        <w:t>加快构建“党委领导、政府主导、部门联合、企业主责、社会参与”的大质量工作格局，扎实开展质量提升专项行动，推动标准、质量、品牌、信誉联动提升，全面提升产品质量、工程质量、环境质量、服务质量。加强计量工作，提高质量标准，突出标准引领，引导优势企业创建国家和省级标准化示范区、生产基地和示范企业。围绕“三区一园”和“两港、两业、两旅、慢城”建设，着力打造一批品牌形象突出、服务平台完备、质量水平一流的优势企业和知名品牌。深化质量监管服务，强化监督考核，将质量提升作为优化营商环境的重要环节，切实帮扶企业解决质量提升中存在的瓶颈问题，提高企业质量竞争力。扎实抓好“质量月”活动，大力弘扬工匠精神，切实解决老百姓关心和消费者反映强烈的质量问题，树立临高“质量、品牌、信誉”的良好形象。</w:t>
      </w:r>
    </w:p>
    <w:p>
      <w:pPr>
        <w:pStyle w:val="2"/>
        <w:ind w:firstLine="627" w:firstLineChars="196"/>
        <w:rPr>
          <w:rFonts w:ascii="黑体" w:hAnsi="黑体" w:eastAsia="黑体" w:cs="仿宋_GB2312"/>
          <w:b w:val="0"/>
          <w:bCs/>
          <w:sz w:val="32"/>
          <w:szCs w:val="32"/>
        </w:rPr>
      </w:pPr>
      <w:bookmarkStart w:id="54" w:name="_Toc64143028"/>
      <w:r>
        <w:rPr>
          <w:rFonts w:hint="eastAsia" w:ascii="黑体" w:hAnsi="黑体" w:eastAsia="黑体" w:cs="仿宋_GB2312"/>
          <w:b w:val="0"/>
          <w:bCs/>
          <w:sz w:val="32"/>
          <w:szCs w:val="32"/>
        </w:rPr>
        <w:t>第八章 加快文化大繁荣大发展，提升文化软实力</w:t>
      </w:r>
      <w:bookmarkEnd w:id="54"/>
    </w:p>
    <w:p>
      <w:pPr>
        <w:spacing w:line="480" w:lineRule="auto"/>
        <w:ind w:firstLine="640" w:firstLineChars="200"/>
        <w:rPr>
          <w:rFonts w:ascii="仿宋_GB2312" w:hAnsi="仿宋" w:eastAsia="仿宋_GB2312" w:cs="仿宋_GB2312"/>
          <w:bCs/>
          <w:sz w:val="32"/>
        </w:rPr>
      </w:pPr>
      <w:r>
        <w:rPr>
          <w:rFonts w:hint="eastAsia" w:ascii="仿宋_GB2312" w:hAnsi="仿宋" w:eastAsia="仿宋_GB2312" w:cs="仿宋_GB2312"/>
          <w:bCs/>
          <w:sz w:val="32"/>
        </w:rPr>
        <w:t>坚持马克思主义在意识形态领域的指导地位，坚持以社会主义核心价值观引领文化建设，扎实推进社会主义精神文明建设，围绕举旗帜、聚民心、育新人、兴文化、展形象的使命任务，全面提升城乡居民文化素质，着力提升临高文化软实力。</w:t>
      </w:r>
    </w:p>
    <w:p>
      <w:pPr>
        <w:pStyle w:val="3"/>
        <w:jc w:val="center"/>
        <w:rPr>
          <w:rFonts w:ascii="楷体_GB2312" w:eastAsia="楷体_GB2312" w:cs="楷体_GB2312" w:hAnsiTheme="majorEastAsia"/>
          <w:szCs w:val="32"/>
        </w:rPr>
      </w:pPr>
      <w:bookmarkStart w:id="55" w:name="_Toc64143029"/>
      <w:r>
        <w:rPr>
          <w:rFonts w:hint="eastAsia" w:ascii="楷体_GB2312" w:eastAsia="楷体_GB2312" w:cs="楷体_GB2312" w:hAnsiTheme="majorEastAsia"/>
          <w:szCs w:val="32"/>
        </w:rPr>
        <w:t>第一节 不断提高社会文明程度</w:t>
      </w:r>
      <w:bookmarkEnd w:id="55"/>
    </w:p>
    <w:p>
      <w:pPr>
        <w:spacing w:line="578"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大力弘扬爱国主义和特区精神，推动形成适应新时代要求的思想观念、精神面貌、文明风尚和行为规范，努力提升全社会文明水平。</w:t>
      </w:r>
    </w:p>
    <w:p>
      <w:pPr>
        <w:spacing w:line="578" w:lineRule="exact"/>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坚持正确的舆论导向。</w:t>
      </w:r>
      <w:r>
        <w:rPr>
          <w:rFonts w:hint="eastAsia" w:ascii="仿宋_GB2312" w:hAnsi="仿宋" w:eastAsia="仿宋_GB2312" w:cs="仿宋_GB2312"/>
          <w:sz w:val="32"/>
          <w:szCs w:val="32"/>
        </w:rPr>
        <w:t>坚持党管宣传、党管意识形态、党管媒体的原则，牢牢掌握意识形态的领导权、主导权，守好舆论宣传阵地，筑牢意识形态领域新防线。加强理论学习中心组、干部夜校、在线学习等重点理论工作平台建设，推动习近平新时代中国特色社会主义思想深入人心。加强思想舆论阵地建设，推动县级融媒体中心建设，推进传播技术创新和新媒体平台建设，用心讲好临高自贸港建设故事。加强网络文明建设，发展积极健康的网络文化，营造天朗气清、生态良好、符合人民利益的公共网络空间。推动理想信念教育常态化制度化，加强爱国主义、集体主义、社会主义教育，大力弘扬“敢闯敢试、敢为人先、埋头苦干”的特区精神和“扎根守土、坚韧不拔、无私奉献”的椰树精神。深入推进“双拥共建”，推进海南解放公园渡海作战博物馆（遗址）等配套项目建设，着力打造爱国主义和国防教育基地，积极发展红色旅游，使更多的游客真切感受革命教育和爱国精神体验。</w:t>
      </w:r>
    </w:p>
    <w:p>
      <w:pPr>
        <w:spacing w:line="578" w:lineRule="exact"/>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深化群众性精神文明创建活动。</w:t>
      </w:r>
      <w:r>
        <w:rPr>
          <w:rFonts w:hint="eastAsia" w:ascii="仿宋_GB2312" w:hAnsi="仿宋" w:eastAsia="仿宋_GB2312" w:cs="仿宋_GB2312"/>
          <w:bCs/>
          <w:sz w:val="32"/>
        </w:rPr>
        <w:t>以社会主义核心价值观为引领，</w:t>
      </w:r>
      <w:r>
        <w:rPr>
          <w:rFonts w:hint="eastAsia" w:ascii="仿宋_GB2312" w:hAnsi="仿宋" w:eastAsia="仿宋_GB2312" w:cs="仿宋_GB2312"/>
          <w:sz w:val="32"/>
          <w:szCs w:val="32"/>
        </w:rPr>
        <w:t>深入开展社会文明大行动，持续推动“双创”工作，深化文明城市、文明村镇、文明单位、文明校园、文明家庭五大文明创建活动，推进以“爱国家、爱海南、爱家乡、爱家庭”为主题的卫生健康大行动，营造积极向上、健康文明的社会风尚。实施新时代文明生活行动，推进公民道德建设和诚信建设，加强家庭家教家风建设，健全志愿服务体系，推动新时代文明实践中心试点扩面，构建覆盖县、镇、村三级的新时代文明实践体系。深入开展乡风文明行动，加强生态文明村创建，大力移风易俗，狠刹铺张浪费、厚葬薄养、封建迷信等歪风，弘扬遵纪守法、诚实守约、勤俭节约、孝老爱亲、尊师重教等文明新风，塑造临高农村精神文明新风尚。</w:t>
      </w:r>
    </w:p>
    <w:p>
      <w:pPr>
        <w:pStyle w:val="3"/>
        <w:jc w:val="center"/>
        <w:rPr>
          <w:rFonts w:ascii="楷体_GB2312" w:eastAsia="楷体_GB2312" w:cs="楷体_GB2312" w:hAnsiTheme="majorEastAsia"/>
          <w:szCs w:val="32"/>
        </w:rPr>
      </w:pPr>
      <w:bookmarkStart w:id="56" w:name="_Toc64143030"/>
      <w:r>
        <w:rPr>
          <w:rFonts w:hint="eastAsia" w:ascii="楷体_GB2312" w:eastAsia="楷体_GB2312" w:cs="楷体_GB2312" w:hAnsiTheme="majorEastAsia"/>
          <w:szCs w:val="32"/>
        </w:rPr>
        <w:t>第二节 加快文化体育事业发展</w:t>
      </w:r>
      <w:bookmarkEnd w:id="56"/>
    </w:p>
    <w:p>
      <w:pPr>
        <w:spacing w:line="578"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突出地域文化特色，推进文化事业和文化产业深度融合和繁荣发展，大力提升公共文化服务水平，不断满足人民群众日益增长的精神文化生活需求。</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加强公共文化服务体系建设。</w:t>
      </w:r>
      <w:r>
        <w:rPr>
          <w:rFonts w:hint="eastAsia" w:ascii="仿宋_GB2312" w:hAnsi="仿宋" w:eastAsia="仿宋_GB2312" w:cs="仿宋_GB2312"/>
          <w:bCs/>
          <w:sz w:val="32"/>
        </w:rPr>
        <w:t>推进县游泳馆、排球馆、图书馆等重大项目建设，打造一批公共文化事业标志性工程。有序推动城市社区文化体育设施建设，推进文化馆、图书馆总分馆制试点和文化市场综合执法改革。加快建设农村文体活动场所，提升农家书屋质量，完善全县行政村文化活动室建设。整合基层文化宣传、党员教育、科学普及、体育健身等设施，以农村文化室为重点完善农村文化综合服务。推进公共文化服务均衡发展，坚持公共文化资源向基层、偏远地区和特殊困难群体倾斜，推动基本公共文化服务均等化。实施文化惠民工程，健全群众文化供需对接平台，组织开展送文化下乡、全民健身、全民阅读、公益电影放映等群众性文化体育活动。提档升级基本公共文化服务标准，把农业转移人口纳入城镇公共文化服务体系，推进覆盖全县城乡的数字文化服务网络建设，更好发挥档案馆、图书馆、博物馆、文化馆等作用，进一步完善县、镇、村三级公共文化服务体系。</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bCs/>
          <w:sz w:val="32"/>
        </w:rPr>
        <w:t>推进优秀地方文化艺术传承创新。</w:t>
      </w:r>
      <w:r>
        <w:rPr>
          <w:rFonts w:hint="eastAsia" w:ascii="仿宋_GB2312" w:hAnsi="仿宋" w:eastAsia="仿宋_GB2312" w:cs="仿宋_GB2312"/>
          <w:bCs/>
          <w:sz w:val="32"/>
        </w:rPr>
        <w:t>加大文化遗产传承保护力度，加强历史文化古迹、文物、古村落和古树名木保护工作。加强文物资源保护利用，加强“哩哩美”“人偶戏”等非物质文化遗产保护、传承和发展，推动海洋文化、红色文化等优秀文化发展。推进文艺精品提升工程，推出一批反映新时代新气象的临高精品力作，擦亮打响“中国民间文化艺术之乡”“中华诗词之乡”“中国曲艺之乡”品牌，提升文化竞争力。深化主流媒体改革，建强用好县融媒体中心，推动传统媒体与新兴媒体融合发展。</w:t>
      </w:r>
    </w:p>
    <w:p>
      <w:pPr>
        <w:spacing w:line="578" w:lineRule="exact"/>
        <w:ind w:firstLine="642" w:firstLineChars="200"/>
        <w:rPr>
          <w:rFonts w:ascii="仿宋" w:hAnsi="仿宋" w:eastAsia="仿宋"/>
          <w:sz w:val="32"/>
          <w:szCs w:val="32"/>
        </w:rPr>
      </w:pPr>
      <w:r>
        <w:rPr>
          <w:rFonts w:hint="eastAsia" w:ascii="仿宋_GB2312" w:hAnsi="楷体_GB2312" w:eastAsia="仿宋_GB2312" w:cs="楷体_GB2312"/>
          <w:b/>
          <w:sz w:val="32"/>
          <w:szCs w:val="32"/>
        </w:rPr>
        <w:t>加快构建现代特色文化产业体系。</w:t>
      </w:r>
      <w:r>
        <w:rPr>
          <w:rFonts w:hint="eastAsia" w:ascii="仿宋_GB2312" w:hAnsi="仿宋" w:eastAsia="仿宋_GB2312"/>
          <w:sz w:val="32"/>
          <w:szCs w:val="32"/>
        </w:rPr>
        <w:t>深化文化体制改革，吸引民营资本投资文化产业，全面激发文化市场活力。坚持文旅融合发展思路，立足比较优势，大力发展特色文化产业。提升休闲渔业发展水平，以哩哩美渔歌为基调，融入中华诗词之乡历史文化底蕴，创作迎宾曲、祝酒歌、祝福歌、送客曲、歌舞剧和歌唱临高自然美景及人文典故的系列歌曲和文化艺术作品，唱响哩哩美文化旅游品牌。推动民间文化活动产业化，改造提升多文冼夫人纪念园等现有民间文化设施，培育发展新型民间艺术团体，发掘人偶戏、军坡节、公期、外嫁女回娘家等传统文化现代精神魅力，推陈出新，打造融艺术性、表演性、参与性、体验性于一体的临高民间文化旅游活动特色品牌。完善全民健身活动中心和海滨浴场、游泳馆、羽毛球馆、网球场等体育设施建设，着力打造海南西部休闲体育运动中心。推进“两街十一市”建设，规划建设集茶歇、咖啡、餐饮、休闲、娱乐等为一体的城市夜生活休闲广场综合体，打造海南岛西部休闲娱乐不夜城。挖掘传统文化典故主题，着力打造文化名镇、文化名村，打响新盈“海南十大名镇”、礼魁坊、寿门坊、美巢等古村落古驿站品牌，全方位讲好中国故事、海南故事、临高故事，建设一批富有文化底蕴、文化特色鲜明的旅游景点，大力促进文化旅游发展。推进文化体育服务设施数字化改造转型，积极发展数字文体产业，重点发展数字文化创意、数字文化体育娱乐、数字内容应用服务、虚拟现实、增强现实文化体育体验等产业。提升对外文化交流水平，加强创新型艺术团队建设，加大青年文艺人才培养力度，拓展对外文化交流渠道，提升文化对外传播力。</w:t>
      </w:r>
    </w:p>
    <w:p>
      <w:pPr>
        <w:spacing w:line="578" w:lineRule="exact"/>
        <w:ind w:firstLine="640" w:firstLineChars="200"/>
        <w:rPr>
          <w:rFonts w:ascii="仿宋_GB2312" w:eastAsia="仿宋_GB2312"/>
          <w:sz w:val="32"/>
          <w:szCs w:val="32"/>
        </w:rPr>
      </w:pP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专栏15  文化软实力建设重大工程  </w:t>
            </w:r>
          </w:p>
        </w:tc>
      </w:tr>
      <w:tr>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（一）公共文化项目建设</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推进县游泳馆、排球馆、图书馆等重大项目建设，有序推动城市社区文化体育设施建设，完善全县行政村文化活动室建设，推进覆盖全县城乡的数字文化服务网络建设。</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（二）文化惠民工程</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组织开展送文化下乡、全民健身、全民阅读、公益电影放映等群众性文化体育活动。</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（三）文化艺术传承创新</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加强历史文化古迹、文物、古村落和古树名木保护，加强“哩哩美”“人偶戏”等非物质文化遗产保护、传承和发展，推出一批反映新时代新气象的临高精品力作，建强用好县融媒体中心。</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（四）特色文化产业体系</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着力打造哩哩美、民间文化活动、西部休闲体育运动中心、休闲娱乐不夜城等特色文化品牌，发展数字文体产业，加强创新型艺术团队建设。</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（五）文化阵地建设</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加强意识形态、思想、舆论、网络等文化阵地建设，建设海南解放公园红色旅游景点景区。</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（六）文明创建行动</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新创建文明生态村60个，持续推动“双创”工作。</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（七）乡风文明行动</w:t>
            </w:r>
          </w:p>
        </w:tc>
      </w:tr>
      <w:tr>
        <w:tblPrEx>
          <w:tblCellMar>
            <w:top w:w="0" w:type="dxa"/>
            <w:left w:w="108" w:type="dxa"/>
            <w:bottom w:w="0" w:type="dxa"/>
            <w:right w:w="108" w:type="dxa"/>
          </w:tblCellMar>
        </w:tblPrEx>
        <w:trPr>
          <w:trHeight w:val="636"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大力移风易俗，狠刹铺张浪费、厚葬薄养、封建迷信等歪风，弘扬遵纪守法、诚实守约、勤俭节约、孝老爱亲、尊师重教等文明新风。</w:t>
            </w:r>
          </w:p>
        </w:tc>
      </w:tr>
      <w:tr>
        <w:trPr>
          <w:trHeight w:val="16"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2"/>
        <w:spacing w:line="360" w:lineRule="auto"/>
        <w:ind w:firstLine="627" w:firstLineChars="196"/>
        <w:rPr>
          <w:rFonts w:ascii="黑体" w:hAnsi="黑体" w:eastAsia="黑体" w:cs="仿宋_GB2312"/>
          <w:b w:val="0"/>
          <w:bCs/>
          <w:sz w:val="32"/>
          <w:szCs w:val="32"/>
        </w:rPr>
      </w:pPr>
      <w:bookmarkStart w:id="57" w:name="_Toc1346"/>
      <w:bookmarkStart w:id="58" w:name="_Toc64143031"/>
      <w:r>
        <w:rPr>
          <w:rFonts w:hint="eastAsia" w:ascii="黑体" w:hAnsi="黑体" w:eastAsia="黑体" w:cs="仿宋_GB2312"/>
          <w:b w:val="0"/>
          <w:bCs/>
          <w:sz w:val="32"/>
          <w:szCs w:val="32"/>
        </w:rPr>
        <w:t xml:space="preserve">第九章 </w:t>
      </w:r>
      <w:bookmarkEnd w:id="57"/>
      <w:r>
        <w:rPr>
          <w:rFonts w:hint="eastAsia" w:ascii="黑体" w:hAnsi="黑体" w:eastAsia="黑体" w:cs="仿宋_GB2312"/>
          <w:b w:val="0"/>
          <w:bCs/>
          <w:sz w:val="32"/>
          <w:szCs w:val="32"/>
        </w:rPr>
        <w:t>坚持绿色发展，持续提升生态环境质量</w:t>
      </w:r>
      <w:bookmarkEnd w:id="58"/>
    </w:p>
    <w:p>
      <w:pPr>
        <w:spacing w:line="360" w:lineRule="auto"/>
        <w:ind w:firstLine="640" w:firstLineChars="200"/>
        <w:rPr>
          <w:rFonts w:ascii="仿宋_GB2312" w:hAnsi="仿宋" w:eastAsia="仿宋_GB2312" w:cs="仿宋_GB2312"/>
          <w:bCs/>
          <w:sz w:val="32"/>
        </w:rPr>
      </w:pPr>
      <w:r>
        <w:rPr>
          <w:rFonts w:hint="eastAsia" w:ascii="仿宋_GB2312" w:hAnsi="仿宋" w:eastAsia="仿宋_GB2312" w:cs="仿宋_GB2312"/>
          <w:bCs/>
          <w:sz w:val="32"/>
        </w:rPr>
        <w:t>深入贯彻习近平生态文明思想，认真践行“绿水青山就是金山银山”理念，精心呵护临高的绿水青山、蓝天白云，促进经济社会发展全面绿色转型，为海南国家生态文明试验区建设做出临高贡献。</w:t>
      </w:r>
    </w:p>
    <w:p>
      <w:pPr>
        <w:pStyle w:val="2"/>
        <w:spacing w:line="360" w:lineRule="auto"/>
        <w:jc w:val="center"/>
        <w:rPr>
          <w:rFonts w:ascii="楷体_GB2312" w:eastAsia="楷体_GB2312" w:cs="仿宋_GB2312" w:hAnsiTheme="majorEastAsia"/>
          <w:bCs/>
          <w:sz w:val="32"/>
          <w:szCs w:val="32"/>
        </w:rPr>
      </w:pPr>
      <w:bookmarkStart w:id="59" w:name="_Toc64143032"/>
      <w:r>
        <w:rPr>
          <w:rFonts w:hint="eastAsia" w:ascii="楷体_GB2312" w:eastAsia="楷体_GB2312" w:cs="仿宋_GB2312" w:hAnsiTheme="majorEastAsia"/>
          <w:bCs/>
          <w:sz w:val="32"/>
          <w:szCs w:val="32"/>
        </w:rPr>
        <w:t>第一节  推动“一项工程、两张名片”建设</w:t>
      </w:r>
      <w:bookmarkEnd w:id="59"/>
    </w:p>
    <w:p>
      <w:pPr>
        <w:spacing w:line="360" w:lineRule="auto"/>
        <w:ind w:firstLine="640" w:firstLineChars="200"/>
        <w:rPr>
          <w:rFonts w:ascii="仿宋_GB2312" w:hAnsi="仿宋" w:eastAsia="仿宋_GB2312" w:cs="仿宋_GB2312"/>
          <w:bCs/>
          <w:sz w:val="32"/>
        </w:rPr>
      </w:pPr>
      <w:r>
        <w:rPr>
          <w:rFonts w:hint="eastAsia" w:ascii="仿宋_GB2312" w:hAnsi="仿宋" w:eastAsia="仿宋_GB2312" w:cs="仿宋_GB2312"/>
          <w:bCs/>
          <w:sz w:val="32"/>
        </w:rPr>
        <w:t>统筹临高山水林田湖草海生命共同体，大力推进生态保护修复与合理利用工程建设，着力打造“国际湿地城市”和“国家森林城市”两张名片，积极争取山水林田湖草海生态修复列入全国试点工程。</w:t>
      </w:r>
    </w:p>
    <w:p>
      <w:pPr>
        <w:spacing w:line="36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实施重要生态系统修复保护工程。</w:t>
      </w:r>
      <w:r>
        <w:rPr>
          <w:rFonts w:hint="eastAsia" w:ascii="仿宋_GB2312" w:hAnsi="仿宋" w:eastAsia="仿宋_GB2312" w:cs="仿宋_GB2312"/>
          <w:bCs/>
          <w:sz w:val="32"/>
        </w:rPr>
        <w:t>构建临高北部蓝色海岸生态保护屏障，推进新盈彩桥红树林、文澜江入海口、马袅湾红树林三大湿地公园和“一线两岸”滨海滨江带状生态公园建设，推动蓝色海湾水环境综合整治，加强近海海域和滨海滨江生态系统修复。构建临高南部水源涵养地生态保护屏障，规划建设尧龙水库-文澜江上游森林湿地公园和跃进水库-大塘河森林湿地公园，加强对文澜江上游水源生态系统的保护。实施文澜江全流域生态环境治理与修复工程。疏浚河道，清理河边垃圾，实现全河段截污纳管，规划建设带状滨江生态公园和沿江旅游公路，着力加强对临高母亲河的保护。实施生态资源修复拓展工程。严格保护天然林、生态公益林和木麻黄沿海防护林，鼓励在重点生态区域推行商品林赎买试点，探索通过租赁、置换、地役权合同等方式规范流转集体土地和经济林，逐步恢复和扩大自然生态空间。推进国家储备林质量精准提升工程，规划建设一批黄花梨、土沉香、粗榧、坡垒等乡土珍稀树种木材储备基地。实施生物多样性保护战略，构建北部沿海、南部文澜江上游和文澜江沿江三大生态屏障和生物多样性保护网络，提升生态系统质量和稳定性。加快推进自然保护地优化调整改造进度，加强白蝶贝、新盈彩桥红树林、高山岭等自然保护区和风景名胜区的生态修复和景观提升。完善生态保护与修复监管体制机制，开展国土绿化，推行林长制。加强外来有害生物物种防治，确保我县森林覆盖率和蓄积量不下降。</w:t>
      </w:r>
    </w:p>
    <w:tbl>
      <w:tblPr>
        <w:tblStyle w:val="12"/>
        <w:tblW w:w="8794" w:type="dxa"/>
        <w:jc w:val="center"/>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600" w:hRule="atLeast"/>
          <w:jc w:val="center"/>
        </w:trPr>
        <w:tc>
          <w:tcPr>
            <w:tcW w:w="8794"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专栏16  重要生态系统修复保护工程</w:t>
            </w:r>
          </w:p>
        </w:tc>
      </w:tr>
      <w:tr>
        <w:tblPrEx>
          <w:tblCellMar>
            <w:top w:w="0" w:type="dxa"/>
            <w:left w:w="108" w:type="dxa"/>
            <w:bottom w:w="0" w:type="dxa"/>
            <w:right w:w="108" w:type="dxa"/>
          </w:tblCellMar>
        </w:tblPrEx>
        <w:trPr>
          <w:trHeight w:val="621"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（一）临高北部蓝色海岸生态保护屏障</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推进新盈彩桥红树林、文澜江入海口、马袅湾红树林三大湿地公园和“一线两岸”滨海滨江带状生态公园建设，推动蓝色海湾水环境综合整治，加强近海海域和滨海滨江生态系统修复。</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（二）临高南部水源涵养地生态保护屏障</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规划建设尧龙水库-文澜江上游森林湿地公园和跃进水库-大塘河森林湿地公园，加强对文澜江上游水源生态系统的保护。</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（三）文澜江全流域生态环境治理与修复</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疏浚河道，清理河边垃圾，实现全河段截污纳管，规划建设带状滨江生态公园和沿江旅游公路。</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（四）生态空间修复拓展</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严格保护天然林、生态公益林和木麻黄沿海防护林，鼓励在重点生态区域推行商品林赎买试点，探索通过租赁、置换、地役权合同等方式规范流转集体土地和经济林，逐步恢复和扩大自然生态空间。</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（五）国家储备林质量精准提升</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规划建设一批黄花梨、土沉香、粗榧、坡垒等乡土珍稀树种木材储备基地。</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（六）生物多样性保护</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构建北部沿海、南部文澜江上游和文澜江沿江三大生态屏障和生物多样性保护网络。</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（七）自然保护区和风景名胜区生态修复</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加强白蝶贝、新盈彩桥红树林、高山岭等自然保护区和风景名胜区的生态修复和景观提升。</w:t>
            </w:r>
          </w:p>
        </w:tc>
      </w:tr>
      <w:tr>
        <w:tblPrEx>
          <w:tblCellMar>
            <w:top w:w="0" w:type="dxa"/>
            <w:left w:w="108" w:type="dxa"/>
            <w:bottom w:w="0" w:type="dxa"/>
            <w:right w:w="108" w:type="dxa"/>
          </w:tblCellMar>
        </w:tblPrEx>
        <w:trPr>
          <w:trHeight w:val="90"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ind w:firstLine="468"/>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（八）生态修复重点项目</w:t>
            </w:r>
          </w:p>
          <w:p>
            <w:pPr>
              <w:widowControl/>
              <w:ind w:firstLine="468"/>
              <w:jc w:val="left"/>
              <w:rPr>
                <w:rFonts w:ascii="楷体_GB2312" w:hAnsi="楷体" w:eastAsia="楷体_GB2312" w:cs="宋体"/>
                <w:color w:val="000000"/>
                <w:kern w:val="0"/>
                <w:sz w:val="24"/>
                <w:szCs w:val="24"/>
              </w:rPr>
            </w:pPr>
            <w:r>
              <w:rPr>
                <w:rFonts w:hint="eastAsia" w:ascii="仿宋_GB2312" w:hAnsi="楷体" w:eastAsia="仿宋_GB2312" w:cs="宋体"/>
                <w:color w:val="000000"/>
                <w:kern w:val="0"/>
                <w:sz w:val="24"/>
                <w:szCs w:val="24"/>
              </w:rPr>
              <w:t>文澜江全流域生态环境治理与修复重点建设项目：文澜江水生态修复、文澜江（城区段）两岸综合整治与生态修复、文澜江（城区段）两岸综合整治与生态修复、</w:t>
            </w:r>
          </w:p>
          <w:p>
            <w:pPr>
              <w:widowControl/>
              <w:ind w:firstLine="468"/>
              <w:jc w:val="left"/>
              <w:rPr>
                <w:rFonts w:ascii="楷体_GB2312" w:hAnsi="楷体" w:eastAsia="楷体_GB2312" w:cs="宋体"/>
                <w:color w:val="000000"/>
                <w:kern w:val="0"/>
                <w:sz w:val="24"/>
                <w:szCs w:val="24"/>
              </w:rPr>
            </w:pPr>
          </w:p>
          <w:p>
            <w:pPr>
              <w:widowControl/>
              <w:ind w:firstLine="468"/>
              <w:jc w:val="left"/>
              <w:rPr>
                <w:rFonts w:ascii="楷体_GB2312" w:hAnsi="楷体" w:eastAsia="楷体_GB2312" w:cs="宋体"/>
                <w:color w:val="000000"/>
                <w:kern w:val="0"/>
                <w:sz w:val="24"/>
                <w:szCs w:val="24"/>
              </w:rPr>
            </w:pPr>
          </w:p>
        </w:tc>
      </w:tr>
      <w:tr>
        <w:tblPrEx>
          <w:tblCellMar>
            <w:top w:w="0" w:type="dxa"/>
            <w:left w:w="108" w:type="dxa"/>
            <w:bottom w:w="0" w:type="dxa"/>
            <w:right w:w="108" w:type="dxa"/>
          </w:tblCellMar>
        </w:tblPrEx>
        <w:trPr>
          <w:trHeight w:val="4334" w:hRule="atLeast"/>
          <w:jc w:val="center"/>
        </w:trPr>
        <w:tc>
          <w:tcPr>
            <w:tcW w:w="8794" w:type="dxa"/>
            <w:tcBorders>
              <w:top w:val="nil"/>
              <w:left w:val="single" w:color="auto" w:sz="4" w:space="0"/>
              <w:bottom w:val="double" w:color="auto" w:sz="6" w:space="0"/>
              <w:right w:val="single" w:color="auto" w:sz="4" w:space="0"/>
            </w:tcBorders>
            <w:shd w:val="clear" w:color="000000" w:fill="DDEBF7"/>
            <w:vAlign w:val="center"/>
          </w:tcPr>
          <w:p>
            <w:pPr>
              <w:widowControl/>
              <w:ind w:firstLine="48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文澜江百仞滩河段景观修复、文澜江流域农田面源污染综合整治、文澜江流域农村环境综合整治、文澜江流域镇村垃圾综合处理、文澜江流域小流域综合整治、文澜江流域河岸林生态修复、文澜江流域饮用水水源地保护、文澜江流域生物多样性保护、文澜江流域水质和生物多样性监测机制能力建设，文澜江流域废弃采石场、采砂场生态恢复，文澜江流域森林资源提质升级、文澜江流域乡村小微湿地综合整治；</w:t>
            </w:r>
            <w:r>
              <w:rPr>
                <w:rFonts w:hint="eastAsia" w:ascii="仿宋_GB2312" w:hAnsi="楷体" w:eastAsia="仿宋_GB2312" w:cs="宋体"/>
                <w:color w:val="000000"/>
                <w:kern w:val="0"/>
                <w:sz w:val="24"/>
                <w:szCs w:val="24"/>
              </w:rPr>
              <w:br w:type="textWrapping"/>
            </w:r>
            <w:r>
              <w:rPr>
                <w:rFonts w:hint="eastAsia" w:ascii="仿宋_GB2312" w:hAnsi="楷体" w:eastAsia="仿宋_GB2312" w:cs="宋体"/>
                <w:color w:val="000000"/>
                <w:kern w:val="0"/>
                <w:sz w:val="24"/>
                <w:szCs w:val="24"/>
              </w:rPr>
              <w:t xml:space="preserve">   </w:t>
            </w:r>
            <w:r>
              <w:rPr>
                <w:rFonts w:hint="eastAsia" w:ascii="仿宋_GB2312" w:hAnsi="楷体" w:eastAsia="仿宋_GB2312" w:cs="宋体"/>
                <w:b/>
                <w:color w:val="000000"/>
                <w:kern w:val="0"/>
                <w:sz w:val="24"/>
                <w:szCs w:val="24"/>
              </w:rPr>
              <w:t xml:space="preserve"> </w:t>
            </w:r>
            <w:r>
              <w:rPr>
                <w:rFonts w:hint="eastAsia" w:ascii="仿宋_GB2312" w:hAnsi="楷体" w:eastAsia="仿宋_GB2312" w:cs="宋体"/>
                <w:color w:val="000000"/>
                <w:kern w:val="0"/>
                <w:sz w:val="24"/>
                <w:szCs w:val="24"/>
              </w:rPr>
              <w:t>沿海生态屏障建设重点项目：新盈彩桥红树林省级湿地自然公园、文澜江河口省级湿地自然公园、马袅河省级湿地自然公园；滨海环境整治、红树林资源修复、临城-东英滨海岸线综合整治、新盈-调楼镇滨海岸线综合整治、博厚滨海岸线综合整治；</w:t>
            </w:r>
          </w:p>
          <w:p>
            <w:pPr>
              <w:widowControl/>
              <w:ind w:firstLine="480"/>
              <w:jc w:val="left"/>
              <w:rPr>
                <w:rFonts w:ascii="楷体" w:hAnsi="楷体" w:eastAsia="楷体" w:cs="宋体"/>
                <w:color w:val="000000"/>
                <w:kern w:val="0"/>
                <w:sz w:val="24"/>
                <w:szCs w:val="24"/>
              </w:rPr>
            </w:pPr>
            <w:r>
              <w:rPr>
                <w:rFonts w:hint="eastAsia" w:ascii="仿宋_GB2312" w:hAnsi="楷体" w:eastAsia="仿宋_GB2312" w:cs="宋体"/>
                <w:color w:val="000000"/>
                <w:kern w:val="0"/>
                <w:sz w:val="24"/>
                <w:szCs w:val="24"/>
              </w:rPr>
              <w:t>南部生态屏障建设重点工程：尧龙水库省级湿地自然公园；</w:t>
            </w:r>
            <w:r>
              <w:rPr>
                <w:rFonts w:hint="eastAsia" w:ascii="仿宋_GB2312" w:hAnsi="楷体" w:eastAsia="仿宋_GB2312" w:cs="宋体"/>
                <w:color w:val="000000"/>
                <w:kern w:val="0"/>
                <w:sz w:val="24"/>
                <w:szCs w:val="24"/>
              </w:rPr>
              <w:br w:type="textWrapping"/>
            </w:r>
            <w:r>
              <w:rPr>
                <w:rFonts w:hint="eastAsia" w:ascii="仿宋_GB2312" w:hAnsi="楷体" w:eastAsia="仿宋_GB2312" w:cs="宋体"/>
                <w:color w:val="000000"/>
                <w:kern w:val="0"/>
                <w:sz w:val="24"/>
                <w:szCs w:val="24"/>
              </w:rPr>
              <w:t xml:space="preserve">   </w:t>
            </w:r>
            <w:r>
              <w:rPr>
                <w:rFonts w:hint="eastAsia" w:ascii="仿宋_GB2312" w:hAnsi="楷体" w:eastAsia="仿宋_GB2312" w:cs="宋体"/>
                <w:b/>
                <w:color w:val="000000"/>
                <w:kern w:val="0"/>
                <w:sz w:val="24"/>
                <w:szCs w:val="24"/>
              </w:rPr>
              <w:t xml:space="preserve"> </w:t>
            </w:r>
            <w:r>
              <w:rPr>
                <w:rFonts w:hint="eastAsia" w:ascii="仿宋_GB2312" w:hAnsi="楷体" w:eastAsia="仿宋_GB2312" w:cs="宋体"/>
                <w:color w:val="000000"/>
                <w:kern w:val="0"/>
                <w:sz w:val="24"/>
                <w:szCs w:val="24"/>
              </w:rPr>
              <w:t>其它生态修项目：林木改种、防风林修复、水土保持等。</w:t>
            </w:r>
            <w:r>
              <w:rPr>
                <w:rFonts w:hint="eastAsia" w:ascii="楷体" w:hAnsi="楷体" w:eastAsia="楷体" w:cs="宋体"/>
                <w:color w:val="000000"/>
                <w:kern w:val="0"/>
                <w:sz w:val="24"/>
                <w:szCs w:val="24"/>
              </w:rPr>
              <w:t xml:space="preserve">    </w:t>
            </w:r>
          </w:p>
        </w:tc>
      </w:tr>
      <w:tr>
        <w:tblPrEx>
          <w:tblCellMar>
            <w:top w:w="0" w:type="dxa"/>
            <w:left w:w="108" w:type="dxa"/>
            <w:bottom w:w="0" w:type="dxa"/>
            <w:right w:w="108" w:type="dxa"/>
          </w:tblCellMar>
        </w:tblPrEx>
        <w:trPr>
          <w:trHeight w:val="300" w:hRule="atLeast"/>
          <w:jc w:val="center"/>
        </w:trPr>
        <w:tc>
          <w:tcPr>
            <w:tcW w:w="8794"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全面推进国际湿地城市和国家森林城市建设。</w:t>
      </w:r>
      <w:r>
        <w:rPr>
          <w:rFonts w:hint="eastAsia" w:ascii="仿宋_GB2312" w:hAnsi="仿宋" w:eastAsia="仿宋_GB2312" w:cs="仿宋_GB2312"/>
          <w:bCs/>
          <w:sz w:val="32"/>
        </w:rPr>
        <w:t>发挥滨海滨江水生态、水资源、水景观、水文化优势，坚持“以水定城、以水定地、以水定人、以水定产”的原则，按照国际湿地城市和国家森林城市的标准，全面推进城市更新、城镇修补和新农村建设，着力打造临高国际湿地城市和国家森林城市两张靓丽的名片。加强大塘河、文科河、马袅河等中小型河流域、湖库和小微湿地资源环境治理和生态修复，大力提升河道湿地景观，建设“一江三河”四大水系生态廊道。提升水资源环境景观文化旅游价值，修复文澜江百仞滩河段景观，建设“龙潭神雨”生态旅游区，提升文科河水生态环境景观，推进水美乡村建设，着力打造水美文化景观示范区。实施全域绿化景观提升工程，推进绿化景观隔离带建设、主要交通干线绿化改造和景观提升工程，加强城镇、农村公共空间的园林绿化建设。加快老残林更新改造和四边林建设，推进“桉改良”工程，在城区街区、村边路边、房前屋后等空闲地块见缝插绿，推广种植本土珍稀树种、本土景观林木和高价值经济果树，大力发展景观农业和庭院经济，将生态系统修复与美丽乡村建设、人居环境改善、乡村旅游发展、农民增收等紧密地结合起来，推进绿水青山变成金山银山。推进“碳中和”城镇试点建设，大力推广使用“零能耗建筑”和“碳中性建筑”，力争将东英国际慢城建设成“碳中和”零碳排放城镇。</w:t>
      </w:r>
    </w:p>
    <w:p>
      <w:pPr>
        <w:ind w:firstLine="648"/>
        <w:rPr>
          <w:rFonts w:ascii="仿宋_GB2312" w:hAnsi="仿宋_GB2312" w:eastAsia="仿宋_GB2312" w:cs="仿宋_GB2312"/>
          <w:bCs/>
          <w:sz w:val="32"/>
        </w:rPr>
      </w:pP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专栏17  国际湿地城市和国家森林城市建设重大工程  </w:t>
            </w:r>
          </w:p>
        </w:tc>
      </w:tr>
      <w:tr>
        <w:tblPrEx>
          <w:tblCellMar>
            <w:top w:w="0" w:type="dxa"/>
            <w:left w:w="108" w:type="dxa"/>
            <w:bottom w:w="0" w:type="dxa"/>
            <w:right w:w="108" w:type="dxa"/>
          </w:tblCellMar>
        </w:tblPrEx>
        <w:trPr>
          <w:trHeight w:val="432"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（一）建设思路</w:t>
            </w:r>
          </w:p>
        </w:tc>
      </w:tr>
      <w:tr>
        <w:tblPrEx>
          <w:tblCellMar>
            <w:top w:w="0" w:type="dxa"/>
            <w:left w:w="108" w:type="dxa"/>
            <w:bottom w:w="0" w:type="dxa"/>
            <w:right w:w="108" w:type="dxa"/>
          </w:tblCellMar>
        </w:tblPrEx>
        <w:trPr>
          <w:trHeight w:val="1248"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坚持“以水定城、以水定地、以水定人、以水定产”的原则，按照国际湿地城市和国家森林城市的标准，建设“一江三河”四大水系生态廊道，全面推进城市更新、城镇修补和水美之乡新农村建设，着力打造临高国际湿地城市和国家森林城市两张靓丽的名片。</w:t>
            </w:r>
          </w:p>
        </w:tc>
      </w:tr>
      <w:tr>
        <w:tblPrEx>
          <w:tblCellMar>
            <w:top w:w="0" w:type="dxa"/>
            <w:left w:w="108" w:type="dxa"/>
            <w:bottom w:w="0" w:type="dxa"/>
            <w:right w:w="108" w:type="dxa"/>
          </w:tblCellMar>
        </w:tblPrEx>
        <w:trPr>
          <w:trHeight w:val="445"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（二）马袅河流域综合治理和水资源景观提升</w:t>
            </w:r>
          </w:p>
        </w:tc>
      </w:tr>
      <w:tr>
        <w:tblPrEx>
          <w:tblCellMar>
            <w:top w:w="0" w:type="dxa"/>
            <w:left w:w="108" w:type="dxa"/>
            <w:bottom w:w="0" w:type="dxa"/>
            <w:right w:w="108" w:type="dxa"/>
          </w:tblCellMar>
        </w:tblPrEx>
        <w:trPr>
          <w:trHeight w:val="1248"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重点项目：马袅河流域河岸林生态修复、马袅河流域小流域综合整治、马袅河流域农村环境综合整治、马袅河流域乡村小微湿地综合整治、马袅河流域废弃采石场生态恢复、马袅河流域镇村垃圾综合处理、马袅河流域农田面源污染综合整治、马袅河流域水质和生物多样性监测机制能力建设等。</w:t>
            </w:r>
          </w:p>
        </w:tc>
      </w:tr>
      <w:tr>
        <w:tblPrEx>
          <w:tblCellMar>
            <w:top w:w="0" w:type="dxa"/>
            <w:left w:w="108" w:type="dxa"/>
            <w:bottom w:w="0" w:type="dxa"/>
            <w:right w:w="108" w:type="dxa"/>
          </w:tblCellMar>
        </w:tblPrEx>
        <w:trPr>
          <w:trHeight w:val="455"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（三）大塘河流域生态环境治理与水资源景观提升</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重点项目：大塘河流域农村环境综合整治、大塘河流域河岸林生态修复、大塘河流域山体生态修复、大塘河流域废弃采石场采砂场生态恢复、大塘河流域乡村小微湿地综合整治、大塘河流域森林资源提质升级等。</w:t>
            </w:r>
          </w:p>
        </w:tc>
      </w:tr>
      <w:tr>
        <w:tblPrEx>
          <w:tblCellMar>
            <w:top w:w="0" w:type="dxa"/>
            <w:left w:w="108" w:type="dxa"/>
            <w:bottom w:w="0" w:type="dxa"/>
            <w:right w:w="108" w:type="dxa"/>
          </w:tblCellMar>
        </w:tblPrEx>
        <w:trPr>
          <w:trHeight w:val="488"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（四）文科河流域生态环境治理与水资源景观提升</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重点项目：文科河流域农村环境综合整治、文科河流域废弃采石场生态恢复、文科河流域农田面源污染综合整治、文科河流域水质和生物多样性监测机制能力建设。</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（五）“古八景”生态环境修复与文化景观提升</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重点项目：古银瀑布乡村湿地公园、高山岭森林公园、百仞滩郊野公园、文澜江百仞滩河段景观修复、“龙潭神雨”生态旅游示范区建设等。</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（六）全域绿化景观提升</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推进绿化景观隔离带建设、主要交通干线绿化改造和景观提升工程，加强城镇、农村公共空间的园林绿化建设。</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（七）老残林更新改造</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推进“桉改良”、“四边林”工程，推广种植本土珍稀树种、本土景观林木和高价值经济果树，大力发展景观农业和庭院经济。</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（八）“碳中性”城镇试点</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大力推广使用“零能耗建筑”和“碳中性建筑”，力争将东英国际慢城建设成“碳中和”零碳排放城镇。</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（九）其它建设工程</w:t>
            </w:r>
          </w:p>
        </w:tc>
      </w:tr>
      <w:tr>
        <w:tblPrEx>
          <w:tblCellMar>
            <w:top w:w="0" w:type="dxa"/>
            <w:left w:w="108" w:type="dxa"/>
            <w:bottom w:w="0" w:type="dxa"/>
            <w:right w:w="108" w:type="dxa"/>
          </w:tblCellMar>
        </w:tblPrEx>
        <w:trPr>
          <w:trHeight w:val="636"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湿地科普宣教中心、滨江公园环境优化提升、城区湿地斑块生态修复、湿地合理利用产业、加来镇市民鱼塘黑臭水体治理等。</w:t>
            </w:r>
          </w:p>
        </w:tc>
      </w:tr>
      <w:tr>
        <w:tblPrEx>
          <w:tblCellMar>
            <w:top w:w="0" w:type="dxa"/>
            <w:left w:w="108" w:type="dxa"/>
            <w:bottom w:w="0" w:type="dxa"/>
            <w:right w:w="108" w:type="dxa"/>
          </w:tblCellMar>
        </w:tblPrEx>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2"/>
        <w:spacing w:line="360" w:lineRule="auto"/>
        <w:jc w:val="center"/>
        <w:rPr>
          <w:rFonts w:ascii="楷体_GB2312" w:eastAsia="楷体_GB2312" w:cs="仿宋_GB2312" w:hAnsiTheme="majorEastAsia"/>
          <w:bCs/>
          <w:sz w:val="32"/>
          <w:szCs w:val="32"/>
        </w:rPr>
      </w:pPr>
      <w:bookmarkStart w:id="60" w:name="_Toc64143033"/>
      <w:r>
        <w:rPr>
          <w:rFonts w:hint="eastAsia" w:ascii="楷体_GB2312" w:eastAsia="楷体_GB2312" w:cs="仿宋_GB2312" w:hAnsiTheme="majorEastAsia"/>
          <w:bCs/>
          <w:sz w:val="32"/>
          <w:szCs w:val="32"/>
        </w:rPr>
        <w:t>第二节 推动绿色低碳发展</w:t>
      </w:r>
      <w:bookmarkEnd w:id="60"/>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强化绿色发展政策保障，发展绿色金融，支持绿色技术创新，推进清洁生产，发展环保产业，推进重点行业和重要领域绿色化改造。</w:t>
      </w:r>
    </w:p>
    <w:p>
      <w:pPr>
        <w:ind w:firstLine="642" w:firstLineChars="200"/>
        <w:rPr>
          <w:rFonts w:ascii="仿宋_GB2312" w:hAnsi="仿宋_GB2312" w:eastAsia="仿宋_GB2312" w:cs="仿宋_GB2312"/>
          <w:bCs/>
          <w:sz w:val="32"/>
        </w:rPr>
      </w:pPr>
      <w:r>
        <w:rPr>
          <w:rFonts w:hint="eastAsia" w:ascii="仿宋_GB2312" w:hAnsi="楷体" w:eastAsia="仿宋_GB2312" w:cs="仿宋_GB2312"/>
          <w:b/>
          <w:bCs/>
          <w:sz w:val="32"/>
        </w:rPr>
        <w:t>推进土地资源集约高效利用。</w:t>
      </w:r>
      <w:r>
        <w:rPr>
          <w:rFonts w:hint="eastAsia" w:ascii="仿宋_GB2312" w:hAnsi="仿宋" w:eastAsia="仿宋_GB2312" w:cs="仿宋_GB2312"/>
          <w:bCs/>
          <w:sz w:val="32"/>
        </w:rPr>
        <w:t>强化国土空间规划和用途管控，实行最严格的节约用地制度，继续推进违法违规建筑专项整治。加大武连渔港等存量闲置土地资源盘活力度，推动武莲国家一级渔港建设。结合临城、加来等重点城镇更新改造，有序推进城镇低效用地再开发，促进空置楼宇等存量资源再利用。完善产业建设用地收储使用政策，按产业项目供地需有环保、投资、产值、税收、就业等方面的要求，达不到要求可便利地收回土地再利用，杜绝长期囤地、占而不用。建立闲置房屋盘活利用机制，鼓励发展度假民宿等新型租赁业态。探索盘活农村、渔村闲置建设用地和宅基地进入产业用地市场的有效途径，重点盘活空心村、废弃房屋、废旧学校等闲置建设用地，增加农民、渔民土地财产收入。</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加快建设“清洁能源县”。</w:t>
      </w:r>
      <w:r>
        <w:rPr>
          <w:rFonts w:hint="eastAsia" w:ascii="仿宋_GB2312" w:hAnsi="仿宋" w:eastAsia="仿宋_GB2312" w:cs="仿宋_GB2312"/>
          <w:bCs/>
          <w:sz w:val="32"/>
        </w:rPr>
        <w:t>建设绿色生态城镇，构建完善的城市绿地系统。开展系列绿色创建活动，大力推进产业、能源和交通运输结构绿色低碳转型，加快发展生物质能产业，大力推广太阳能等可再生能源的应用，加快推广新能源汽车和节能环保汽车，加快发展绿色节能公共交通系统，完善绿色出行服务系统，推广绿色建筑技术和环保建材，推动能源清洁低碳安全高效利用。创建生态渔港、绿色渔港和节能渔港，支持海洋渔业作业船舶进行液化天然气（LNG）动力改造更新，严格管控滩涂和近海池塘养殖，推行减船转产和近海捕捞限额管理，推动海洋渔业生产由近岸向外海转移、由粗放型向生态型转变。实施能耗总量和强度双控行动，严把产业准入关，从源头上禁止高能耗、高污染、高排放产业和低端制造业项目落地。加快建设节水型社会。落实海南省节水行动方案，实施用水总量和强度双控行动，强化节水约束性指标管理，加强农业节水增效，严把建设项目节水关，严格控制用水总量和用水强度，全面提高水资源利用效率，全面建成节水型社会。</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bCs/>
          <w:sz w:val="32"/>
        </w:rPr>
        <w:t>大力发展循环经济。</w:t>
      </w:r>
      <w:r>
        <w:rPr>
          <w:rFonts w:hint="eastAsia" w:ascii="仿宋_GB2312" w:hAnsi="仿宋" w:eastAsia="仿宋_GB2312" w:cs="仿宋_GB2312"/>
          <w:bCs/>
          <w:sz w:val="32"/>
        </w:rPr>
        <w:t>健全自然资源产权制度和有偿使用制度，完善市场化、多元化生态补偿，推进资源总量管理、科学配置、全面节约、循环利用，全面推进绿色低碳发展。构建生态农业循环产业链，积极推进农业标准化、清洁化生产，大力推广设施栽培、生态养殖、立体种养、种养加一体化等农业发展模式。积极推进农村一二三大产业融合发展，加快发展农产品加工、冷链物流、市场销售，大力发展农事体验、渔村渔家、度假民宿、购物餐饮等乡村旅游业，构建一产接二产连三产大产业循环体系。推进波莲循环经济科技产业园建设，加快建设建筑垃圾和有机固体废弃物无害化处理和资源化利用项目，积极培育发展“城市矿产”开发和废旧汽车、机车、家电、手机等再制造产业。倡导绿色健康生活方式，全面禁止不可降解塑料用品的生产、销售和使用，严格限制一次性用品使用，鼓励发展绿色环保包装，反对过度包装、过度消费和食品浪费。</w:t>
      </w:r>
    </w:p>
    <w:p>
      <w:pPr>
        <w:pStyle w:val="2"/>
        <w:spacing w:line="360" w:lineRule="auto"/>
        <w:jc w:val="center"/>
        <w:rPr>
          <w:rFonts w:ascii="楷体_GB2312" w:eastAsia="楷体_GB2312" w:cs="仿宋_GB2312" w:hAnsiTheme="majorEastAsia"/>
          <w:bCs/>
          <w:sz w:val="32"/>
          <w:szCs w:val="32"/>
        </w:rPr>
      </w:pPr>
      <w:bookmarkStart w:id="61" w:name="_Toc64143034"/>
      <w:r>
        <w:rPr>
          <w:rFonts w:hint="eastAsia" w:ascii="楷体_GB2312" w:eastAsia="楷体_GB2312" w:cs="仿宋_GB2312" w:hAnsiTheme="majorEastAsia"/>
          <w:bCs/>
          <w:sz w:val="32"/>
          <w:szCs w:val="32"/>
        </w:rPr>
        <w:t>第三节 持续改善环境质量</w:t>
      </w:r>
      <w:bookmarkEnd w:id="61"/>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提高全社会生态环境保护意识，深入打好污染防治攻坚战，大力开展生态环境“六大专项”整治，全力推动中央和省环保督察反馈问题整改，持续改善生态环境质量。</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完善大气污染防治精细化管理机制。</w:t>
      </w:r>
      <w:r>
        <w:rPr>
          <w:rFonts w:hint="eastAsia" w:ascii="仿宋_GB2312" w:hAnsi="仿宋" w:eastAsia="仿宋_GB2312" w:cs="仿宋_GB2312"/>
          <w:bCs/>
          <w:sz w:val="32"/>
        </w:rPr>
        <w:t>加强清洁能源在海洋渔业领域推广应用，规划建设北部重点渔港充电、加气基础设施，鼓励发展海上电动休闲运动、垂钓等新业态。推进扬尘污染治理，加强建筑工地、沙土运输扬尘治理，全面禁止生活垃圾、秸秆等露天焚烧，治理夜间露天占道烧烤污染，禁止餐饮店未经处理油烟直排，加大城区道路水洗机扫力度，对城乡裸露地面实施绿化或者硬化、覆盖等抑尘措施。加强空气污染综合治理，大力推进龙力糖厂减能节排环保技术改造，加强汽车尾气等治理，加快“气代柴薪”进村入户步伐，加强与澄迈、儋州、洋浦等周边区域合作联防联控，持续改善优良空气质量，确保空气质量优良天数比例保持在98%以上。</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加大水污染防治力度。</w:t>
      </w:r>
      <w:r>
        <w:rPr>
          <w:rFonts w:hint="eastAsia" w:ascii="仿宋_GB2312" w:hAnsi="仿宋" w:eastAsia="仿宋_GB2312" w:cs="仿宋_GB2312"/>
          <w:bCs/>
          <w:sz w:val="32"/>
        </w:rPr>
        <w:t>继续推进建制镇污水处理设施项目EPC+O建管模式，全面完成10个建制镇污水处理设施建设任务，实施滨海地区、金牌港污水处理设施项目建设和临城污水厂扩建提标改造工程，加强污水管网工程建设，提高污水收集率，到2025年全县城镇生活污水收集率达到75%以上。提高临高县污水处理厂和新盈镇污水处理厂建设标准，对污水厂尾水进行深度净化，出水水质达到国家排放标准。按照补偿污水处理和污泥处置设施运营成本并合理盈利的原则，科学调整或确定污水处理费征收标准，对已建成污水处理设施的区域全面建立污水处理收费制度。加快农村污水处理设施建设，加快配套管网建设，加快推进农村污水收集管网进村入户，推进覆盖城乡的污水收集处理体系建设。</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实施最严格的水资源保护制度。</w:t>
      </w:r>
      <w:r>
        <w:rPr>
          <w:rFonts w:hint="eastAsia" w:ascii="仿宋_GB2312" w:hAnsi="仿宋" w:eastAsia="仿宋_GB2312" w:cs="仿宋_GB2312"/>
          <w:bCs/>
          <w:sz w:val="32"/>
        </w:rPr>
        <w:t>实施饮用水水源保护工程，加强与文澜江、松涛东干渠和跃进、尧龙、抱美水库（两系三盆）紧密相关的地表饮用水源地的保护，加强隔离防护与宣传警示设施建设，对饮用水水源地现有的点源、面源等各类污染源采取综合治理措施，建设饮用水源保护区生态修复工程，种植水源涵养林，确保饮用水安全达标。加强河流水环境综合治理，对文澜江、东江河、文科河、加来河、大塘河等河流集水面积区域内实施畜禽、水产养殖污染治理和种植业面源污染治理，对城中村、老旧城区和城乡结合部等易污染河段加大截污纳管、雨污分流、河道清淤、垃圾清理、排污口整治、污水收集管网建设等治理措施力度，切实加强对全县河流湖库系统的保护。进一步压实河（湖）长责任，强化河湖常态化管理，实施“一河一策”，切实做好水资源保护、水域岸线管理、水污染防治、水环境治理、水生态修复、执法监管等六项工作。加强水资源环境综合执法，严厉打击偷排漏排、非法采砂、围垦河湖、侵占河道、非法养殖和乱占滥用岸线等违法犯罪行为。严格控制地下水、地热温泉开采。强化水土保持监管，加强水土流失敏感脆弱区生态环境综合治理，增强水土保持功能。</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加强土壤污染综合治理。</w:t>
      </w:r>
      <w:r>
        <w:rPr>
          <w:rFonts w:hint="eastAsia" w:ascii="仿宋_GB2312" w:hAnsi="仿宋" w:eastAsia="仿宋_GB2312" w:cs="仿宋_GB2312"/>
          <w:bCs/>
          <w:sz w:val="32"/>
        </w:rPr>
        <w:t>加强白色污染治理，实施农业面源污染防治工程，大力推广低毒、低残留农药和测土配方施肥、秸秆还田、病虫害绿色防控等先进耕作技术，推进增施有机肥，逐步减少化肥和农药使用量，开展灌区农业面源生态拦截工程和生态沟渠、污水净化塘、湿地沼泽建设。实施农用地分类管理，加强水产和畜禽养殖污染治理，严格执行禁养区和适养区分区管理制度，依法关闭或搬迁禁养区水产、畜禽养殖项目，在适养区建设一批标准化、生态型、工厂化、规模化的养殖示范项目，推进规模化养殖场集中式畜禽粪污治理，建设沼气池或废水处理设施，确保养殖废水达标排放或资源化利用。实施清洁田园工程，推广使用新型可降解农膜，加快建立农田种植废弃物、水产畜禽养殖废弃物收集、转运、集中处理和资源化利用体系。健全耕地休耕轮作制度，完善自然保护地、生态保护红线监管制度。全面推进清洁生产，积极支持企业开展ISO14000环境管理体系、环境标志产品和其他绿色认证，对超标、超总量排污和使用、排放有毒有害物质的企业实施强制性清洁生产审核，鼓励企业积极运用先进技术开展污染防治，加强资源回收利用。</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bCs/>
          <w:sz w:val="32"/>
        </w:rPr>
        <w:t>推进固体废弃物无害化处理和资源化利用体系建设。</w:t>
      </w:r>
      <w:r>
        <w:rPr>
          <w:rFonts w:hint="eastAsia" w:ascii="仿宋_GB2312" w:hAnsi="仿宋" w:eastAsia="仿宋_GB2312" w:cs="仿宋_GB2312"/>
          <w:bCs/>
          <w:sz w:val="32"/>
        </w:rPr>
        <w:t>强化城乡生态环境综合整治，完善“户分类、村收集、镇转运、县处理”城乡环卫体系，推行城乡环卫一体化，实现生活垃圾无害化处理率达到100％。加快建立建筑垃圾回收、处理和资源化利用系统，在全县规划布局建设建筑垃圾收集、转运、集中处理和资源化利用体系。支持环宇新能源改扩建和宁能生物质发电项目建设，规划建设建筑垃圾再利用、大型沼气等项目，推进餐厨垃圾、农林废弃物、畜禽粪污、污泥、粪便等有机垃圾无害化处理和资源化利用。</w:t>
      </w:r>
      <w:r>
        <w:rPr>
          <w:rFonts w:hint="eastAsia" w:ascii="仿宋_GB2312" w:hAnsi="仿宋" w:eastAsia="仿宋_GB2312" w:cs="仿宋_GB2312"/>
          <w:sz w:val="32"/>
          <w:szCs w:val="32"/>
        </w:rPr>
        <w:t>加强危险废物医疗废物收集处理。</w:t>
      </w: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专栏18  环境保护和污染防治重大工程  </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（一）城乡污水处理设施建设</w:t>
            </w:r>
          </w:p>
        </w:tc>
      </w:tr>
      <w:tr>
        <w:tblPrEx>
          <w:tblCellMar>
            <w:top w:w="0" w:type="dxa"/>
            <w:left w:w="108" w:type="dxa"/>
            <w:bottom w:w="0" w:type="dxa"/>
            <w:right w:w="108" w:type="dxa"/>
          </w:tblCellMar>
        </w:tblPrEx>
        <w:trPr>
          <w:trHeight w:val="1248"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续建滨海、东英、新盈、调楼、博厚、波莲、加来、多文、皇桐、南宝、和舍等11个污水处理厂及管网工程，推进新盈镇污水处理厂提标改造、临城镇文澜江（四号桥至龙力坝段）排污口改造、和舍镇管网工程建设，新建农村生活污水治理（二期）、配套污水管网、污泥处理、污水再生利用等工程项目。</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（二）饮用水水源保护</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加强“两系三盆”地表饮用水源地保护，加强隔离防护与宣传警示设施建设，对饮用水水源地现有的点源、面源等各类污染源采取综合治理措施，种植水源涵养林，确保饮用水安全达标。</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（三）大气污染防治</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规划建设北部重点渔港充电、加气基础设施，支持海洋渔业船舶液化天然气（LNG）动力改造更新，实施建筑工地、汽车尾气、沙土扬尘、露天焚烧、烧烤污染、油烟直排等专项治理行动，加强与澄迈、儋州、洋浦等周边区域联防联控。</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（四）土壤污染防治</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推进农业面源污染防治工程、水产畜禽养殖污染治理、清洁田园等工程，加快建立农业废弃物、水产畜禽养殖废弃物收集、转运、集中处理和资源化利用体系，全面推进清洁生产。</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（五）固体废弃物资源化利用</w:t>
            </w:r>
          </w:p>
        </w:tc>
      </w:tr>
      <w:tr>
        <w:tblPrEx>
          <w:tblCellMar>
            <w:top w:w="0" w:type="dxa"/>
            <w:left w:w="108" w:type="dxa"/>
            <w:bottom w:w="0" w:type="dxa"/>
            <w:right w:w="108" w:type="dxa"/>
          </w:tblCellMar>
        </w:tblPrEx>
        <w:trPr>
          <w:trHeight w:val="636"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在全县规划布局建设建筑垃圾收集、转运、集中处理和资源化利用体系；推进波莲循环经济产业园建设，推进有机垃圾无害化处理和资源化利用。</w:t>
            </w:r>
          </w:p>
        </w:tc>
      </w:tr>
      <w:tr>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2"/>
        <w:spacing w:line="360" w:lineRule="auto"/>
        <w:jc w:val="center"/>
        <w:rPr>
          <w:rFonts w:ascii="楷体_GB2312" w:eastAsia="楷体_GB2312" w:cs="仿宋_GB2312" w:hAnsiTheme="majorEastAsia"/>
          <w:bCs/>
          <w:sz w:val="32"/>
          <w:szCs w:val="32"/>
        </w:rPr>
      </w:pPr>
      <w:bookmarkStart w:id="62" w:name="_Toc64143035"/>
      <w:r>
        <w:rPr>
          <w:rFonts w:hint="eastAsia" w:ascii="楷体_GB2312" w:eastAsia="楷体_GB2312" w:cs="仿宋_GB2312" w:hAnsiTheme="majorEastAsia"/>
          <w:bCs/>
          <w:sz w:val="32"/>
          <w:szCs w:val="32"/>
        </w:rPr>
        <w:t>第四节 推进生态文明建设制度创新</w:t>
      </w:r>
      <w:bookmarkEnd w:id="62"/>
    </w:p>
    <w:p>
      <w:pPr>
        <w:spacing w:line="480" w:lineRule="auto"/>
        <w:ind w:firstLine="640" w:firstLineChars="200"/>
        <w:rPr>
          <w:rFonts w:ascii="仿宋_GB2312" w:hAnsi="仿宋" w:eastAsia="仿宋_GB2312" w:cs="仿宋_GB2312"/>
          <w:bCs/>
          <w:sz w:val="32"/>
        </w:rPr>
      </w:pPr>
      <w:r>
        <w:rPr>
          <w:rFonts w:hint="eastAsia" w:ascii="仿宋_GB2312" w:hAnsi="仿宋" w:eastAsia="仿宋_GB2312" w:cs="仿宋_GB2312"/>
          <w:bCs/>
          <w:sz w:val="32"/>
        </w:rPr>
        <w:t>深入实施可持续发展战略，深化生态文明体制机制创新，建立健全生态文明建设长效机制。</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建立健全生态空间分类管控制度。</w:t>
      </w:r>
      <w:r>
        <w:rPr>
          <w:rFonts w:hint="eastAsia" w:ascii="仿宋_GB2312" w:hAnsi="仿宋" w:eastAsia="仿宋_GB2312" w:cs="仿宋_GB2312"/>
          <w:bCs/>
          <w:sz w:val="32"/>
        </w:rPr>
        <w:t>科学编制国土空间规划，调整优化全县耕地、基本农田、林地、建设用地布局，以“双评价”为基础划定生态保护红线、永久基本农田、城镇开发等空间管制边界，减少人类活动对自然空间的占用，严格自然生态空间用途管制。依据生态功能和环境保护目标，将生态自然空间一步区分为禁止开发区和限制开发区，建立严格的分区分类管控体系。探索建立以国家、省、县三级公园为主体，分级管理、权责明确、边界清晰的自然保护地体系，推进生态空间严格保护与合理利用。</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落实生态环境保护责任制。</w:t>
      </w:r>
      <w:r>
        <w:rPr>
          <w:rFonts w:hint="eastAsia" w:ascii="仿宋_GB2312" w:hAnsi="仿宋" w:eastAsia="仿宋_GB2312" w:cs="仿宋_GB2312"/>
          <w:bCs/>
          <w:sz w:val="32"/>
        </w:rPr>
        <w:t>进一步完善河长制、湖长制、湾长制、林长制管护机制，把每一块自然生态空间内环境保护责任细化落实到人。落实环境保护“党政同责、一岗双责”制度，严格执行党政领导干部自然资源资产离任审计、生态环境损害责任追究制度。编制全县自然资源资产负债表，构建以绿色发展为导向的评价考核体系，促进经济社会发展全面绿色转型。落实生态环境保护监管责任，加强生态环境保护综合行政执法，健全流域海域生态环境管理机制，强化乡镇（街道）生态环境保护职责，落实行政村生态环境保护责任，解决农村生态环境保护监管“最后一百米”问题。建立环境污染“黑名单”制度，对造成生态环境损害责任者加重处罚，推行环保公益诉讼，实行生态环境损害责任终身追究制。</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探索生态环境保护新机制。</w:t>
      </w:r>
      <w:r>
        <w:rPr>
          <w:rFonts w:hint="eastAsia" w:ascii="仿宋_GB2312" w:hAnsi="仿宋" w:eastAsia="仿宋_GB2312" w:cs="仿宋_GB2312"/>
          <w:bCs/>
          <w:sz w:val="32"/>
        </w:rPr>
        <w:t>深入推进排污许可制度改革，积极开展森林经营权、水权、海洋生态系统碳汇试点，完善生态补偿机制，推广合同能源管理，实行环境污染第三方治理，在环境高风险领域建立环境污染强制责任保险制度。</w:t>
      </w:r>
    </w:p>
    <w:p>
      <w:pPr>
        <w:pStyle w:val="2"/>
        <w:spacing w:line="240" w:lineRule="auto"/>
        <w:ind w:firstLine="627" w:firstLineChars="196"/>
        <w:rPr>
          <w:rFonts w:ascii="黑体" w:hAnsi="黑体" w:eastAsia="黑体" w:cs="仿宋_GB2312"/>
          <w:b w:val="0"/>
          <w:bCs/>
          <w:sz w:val="32"/>
          <w:szCs w:val="32"/>
        </w:rPr>
      </w:pPr>
      <w:bookmarkStart w:id="63" w:name="_Toc30"/>
      <w:bookmarkStart w:id="64" w:name="_Toc64143036"/>
      <w:r>
        <w:rPr>
          <w:rFonts w:hint="eastAsia" w:ascii="黑体" w:hAnsi="黑体" w:eastAsia="黑体" w:cs="仿宋_GB2312"/>
          <w:b w:val="0"/>
          <w:bCs/>
          <w:sz w:val="32"/>
          <w:szCs w:val="32"/>
        </w:rPr>
        <w:t xml:space="preserve">第十章 </w:t>
      </w:r>
      <w:bookmarkEnd w:id="63"/>
      <w:r>
        <w:rPr>
          <w:rFonts w:hint="eastAsia" w:ascii="黑体" w:hAnsi="黑体" w:eastAsia="黑体" w:cs="仿宋_GB2312"/>
          <w:b w:val="0"/>
          <w:bCs/>
          <w:sz w:val="32"/>
          <w:szCs w:val="32"/>
        </w:rPr>
        <w:t>保障和改善民生，提高城乡居民获得感幸福感</w:t>
      </w:r>
      <w:bookmarkEnd w:id="64"/>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坚持把实现好、维护好、发展好最广大人民根本利益作为发展的出发点和落脚点，尽力而为、量力而行，加快构建城乡一体、优质均衡的社会公共服务体系，不断提高人民群众获得感幸福感。</w:t>
      </w:r>
    </w:p>
    <w:p>
      <w:pPr>
        <w:pStyle w:val="3"/>
        <w:spacing w:line="240" w:lineRule="auto"/>
        <w:jc w:val="center"/>
        <w:rPr>
          <w:rFonts w:ascii="楷体_GB2312" w:eastAsia="楷体_GB2312" w:cs="仿宋_GB2312" w:hAnsiTheme="majorEastAsia"/>
          <w:bCs/>
        </w:rPr>
      </w:pPr>
      <w:bookmarkStart w:id="65" w:name="_Toc64143037"/>
      <w:r>
        <w:rPr>
          <w:rFonts w:hint="eastAsia" w:ascii="楷体_GB2312" w:eastAsia="楷体_GB2312" w:cs="仿宋_GB2312" w:hAnsiTheme="majorEastAsia"/>
          <w:bCs/>
        </w:rPr>
        <w:t>第一节 提高城乡居民收入水平</w:t>
      </w:r>
      <w:bookmarkEnd w:id="65"/>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建立健全与自贸港建设相适应、符合不同行业特点与发展规律的分配机制，努力实现城乡居民收入较快增长。</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大力拓宽城乡居民增加收入的渠道。</w:t>
      </w:r>
      <w:r>
        <w:rPr>
          <w:rFonts w:hint="eastAsia" w:ascii="仿宋_GB2312" w:hAnsi="仿宋" w:eastAsia="仿宋_GB2312" w:cs="仿宋_GB2312"/>
          <w:bCs/>
          <w:sz w:val="32"/>
        </w:rPr>
        <w:t>坚持共同富裕方向，健全工资正常增长机制，改善收入和财富分配格局，扩大中等收入群体，努力使城乡居民收入增长快于经济增长。多渠道增加农村居民收入，鼓励农民通过外出务工增加劳务性收入，通过发展新型农村经营主体增加经营性收入，通过盘活农村土地资源等增加财产性收入，通过农业财政补助政策增加转移性收入。坚持按劳分配为主体、多种分配方式并存，提高劳动报酬在初次分配中的比重，加大对困难群体的社会救助力度，着力提高低收入群体收入。完善机关事业单位绩效工资分配制度，体现工作实绩。发展慈善事业，健全多层次社会保障体系，提高城乡居民消费能力。落实好“菜篮子”“米袋子”主体责任，加快畜禽、常年瓜菜、冬季瓜菜和粮食生产基地建设，畅通流通体系，稳定物价，使城乡居民生活越过越好。</w:t>
      </w:r>
    </w:p>
    <w:p>
      <w:pPr>
        <w:ind w:firstLine="642" w:firstLineChars="200"/>
        <w:rPr>
          <w:rFonts w:ascii="仿宋" w:hAnsi="仿宋" w:eastAsia="仿宋" w:cs="楷体"/>
          <w:bCs/>
          <w:sz w:val="32"/>
        </w:rPr>
      </w:pPr>
      <w:r>
        <w:rPr>
          <w:rFonts w:hint="eastAsia" w:ascii="仿宋_GB2312" w:hAnsi="楷体" w:eastAsia="仿宋_GB2312" w:cs="仿宋_GB2312"/>
          <w:b/>
          <w:bCs/>
          <w:sz w:val="32"/>
        </w:rPr>
        <w:t>努力提高城乡居民收入水平。</w:t>
      </w:r>
      <w:r>
        <w:rPr>
          <w:rFonts w:hint="eastAsia" w:ascii="仿宋_GB2312" w:hAnsi="仿宋" w:eastAsia="仿宋_GB2312" w:cs="仿宋_GB2312"/>
          <w:bCs/>
          <w:sz w:val="32"/>
        </w:rPr>
        <w:t>贯彻尊重劳动、尊重知识、尊重人才、尊重创造方针，健全各类生产要素由市场评价贡献、按贡献决定报酬机制，完善按要素分配政策制度，大力拓宽城乡居民增加收入的渠道。营造优良的轻税薄赋、宽松包容的发展环境，努力增加中小微企业主、个体工商户和数字经济自由职业者的收入。规范收入分配秩序，保护合法收入，规范隐性收入，取缔非法收入，努力消除行政垄断等非市场因素对收入的影响，完善以税收、社会保障、财政转移支付为主要手段的再分配调节机制，加快形成以中等收入群体为主体的橄榄型社会收入分配格局。</w:t>
      </w:r>
    </w:p>
    <w:p>
      <w:pPr>
        <w:pStyle w:val="3"/>
        <w:spacing w:line="240" w:lineRule="auto"/>
        <w:jc w:val="center"/>
        <w:rPr>
          <w:rFonts w:ascii="楷体_GB2312" w:eastAsia="楷体_GB2312" w:cs="仿宋_GB2312" w:hAnsiTheme="majorEastAsia"/>
          <w:bCs/>
        </w:rPr>
      </w:pPr>
      <w:bookmarkStart w:id="66" w:name="_Toc64143038"/>
      <w:r>
        <w:rPr>
          <w:rFonts w:hint="eastAsia" w:ascii="楷体_GB2312" w:eastAsia="楷体_GB2312" w:cs="仿宋_GB2312" w:hAnsiTheme="majorEastAsia"/>
          <w:bCs/>
        </w:rPr>
        <w:t>第二节 落实就业优先政策</w:t>
      </w:r>
      <w:bookmarkEnd w:id="66"/>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坚持就业是民生之本，落实好就业优先政策，不断促进就业机会更加充分，就业结构更加优化，就业环境更加公平，劳动关系更加和谐。</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千方百计稳定和扩大就业。</w:t>
      </w:r>
      <w:r>
        <w:rPr>
          <w:rFonts w:hint="eastAsia" w:ascii="仿宋_GB2312" w:hAnsi="仿宋" w:eastAsia="仿宋_GB2312" w:cs="仿宋_GB2312"/>
          <w:bCs/>
          <w:sz w:val="32"/>
        </w:rPr>
        <w:t>多渠道创造更多就业岗位，坚持劳动者自主就业、市场调节就业、政府促进就业和鼓励创业的原则，发挥市场化就业主渠道作用，大力支持中小企业、民营经济、现代服务业加快发展，着力促进经济较快增长，扩大就业容量，提升就业质量，促进充分就业。完善重点群体就业支持体系，进一步健全对困难人员的就业援助机制，建立就业困难人员实名登记数据库，大力促进青年大学生、农村转移劳动力、退役军人、残疾人等重点群体就业，积极营造有利于灵活就业、自主创业和其它新就业形态发展的政策环境、服务环境和社会环境。发挥公益性岗位托底安置作用，大力开发公益性就业岗位，建立政府购买公共就业服务成果制度，加大对就业困难人员的扶持力度，确保零就业家庭动态清零。</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推进以创新创业带动就业。</w:t>
      </w:r>
      <w:r>
        <w:rPr>
          <w:rFonts w:hint="eastAsia" w:ascii="仿宋_GB2312" w:hAnsi="仿宋" w:eastAsia="仿宋_GB2312" w:cs="仿宋_GB2312"/>
          <w:bCs/>
          <w:sz w:val="32"/>
        </w:rPr>
        <w:t>坚持政府促进、社会支持、市场导向、自主创业的原则，以培育中青年创业群体为重点，健全政策扶持机制，加强对创业企业的扶持和服务，完善创业服务体系，加快创业孵化基地建设，增强现有创业孵化基地的辐射作用，营造创业氛围，改善创业环境。落实减税降负政策和清理规范涉企收费有关政策，落实中小企业扶持政策，解决中小微企业融资难融资贵问题，鼓励更多市场主体和社会主体投身创新创业，以创业带动就业。进一步加大对外地临高籍人士和返乡大学生创新创业的支持力度，着力打造一批返乡大学生创业示范项目，以创业带动就业，让临籍返乡创新创业人才在自贸港建设中发挥更加积极的作用。完善就业失业监测体系，建立健全调查失业率制度，加强企业用工、劳动力市场供求、失业动态监测等工作。</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加强技能培训和就业服务。</w:t>
      </w:r>
      <w:r>
        <w:rPr>
          <w:rFonts w:hint="eastAsia" w:ascii="仿宋_GB2312" w:hAnsi="仿宋" w:eastAsia="仿宋_GB2312" w:cs="仿宋_GB2312"/>
          <w:bCs/>
          <w:sz w:val="32"/>
        </w:rPr>
        <w:t>加快建设现代职业教育创新发展试验区，实施职业教育惠民政策，整合各类培训资源，统筹用好各类培训资金，完善社会化职业技能培训机制，让更多的本土青年和劳动年龄人口接受高质量的现代职业教育，重点推进建筑、家政、养老护理、旅游、物流等领域农民工专项技能培训。支持企业以新招用的青年劳动者和新转岗人员为重点，开展新型学徒制培训。健全中小微企业培训服务平台，积极开展企业紧缺急需人才的专项培训。完善公共就业服务体系，加强机构建设和人员配置，积极发挥现有城乡公共服务平台的作用。</w:t>
      </w:r>
    </w:p>
    <w:p>
      <w:pPr>
        <w:ind w:firstLine="642" w:firstLineChars="200"/>
        <w:rPr>
          <w:rFonts w:ascii="仿宋_GB2312" w:hAnsi="仿宋" w:eastAsia="仿宋_GB2312" w:cs="楷体"/>
          <w:bCs/>
          <w:sz w:val="32"/>
        </w:rPr>
      </w:pPr>
      <w:r>
        <w:rPr>
          <w:rFonts w:hint="eastAsia" w:ascii="仿宋_GB2312" w:hAnsi="楷体" w:eastAsia="仿宋_GB2312" w:cs="仿宋_GB2312"/>
          <w:b/>
          <w:bCs/>
          <w:sz w:val="32"/>
        </w:rPr>
        <w:t>构建公正和谐劳动关系。</w:t>
      </w:r>
      <w:r>
        <w:rPr>
          <w:rFonts w:hint="eastAsia" w:ascii="仿宋_GB2312" w:hAnsi="仿宋" w:eastAsia="仿宋_GB2312" w:cs="仿宋_GB2312"/>
          <w:bCs/>
          <w:sz w:val="32"/>
        </w:rPr>
        <w:t>完善统一规范灵活的人力资源市场，形成有利于公平就业的制度环境。依法规范劳务派遣用工，促进实现同工同酬。落实职工带薪休假制度，加强劳动安全卫生执法监督，保障职工休息休假和获得劳动安全保护的权利。健全劳动关系协调机制，加强劳动保障执法监督和劳动人事争议调解仲裁，规范合同履约行为，坚决遏制农民工工资拖欠，有效预防和化解劳动关系矛盾。加大对环卫等工作环境差、劳动强度大的公用事业行业一线劳动者关心爱护，切实改善工作条件，保障合理薪酬和社会保险待遇。</w:t>
      </w:r>
    </w:p>
    <w:p>
      <w:pPr>
        <w:pStyle w:val="3"/>
        <w:spacing w:line="240" w:lineRule="auto"/>
        <w:jc w:val="center"/>
        <w:rPr>
          <w:rFonts w:ascii="楷体_GB2312" w:hAnsi="黑体" w:eastAsia="楷体_GB2312" w:cs="楷体"/>
          <w:bCs/>
        </w:rPr>
      </w:pPr>
      <w:bookmarkStart w:id="67" w:name="_Toc64143039"/>
      <w:r>
        <w:rPr>
          <w:rFonts w:hint="eastAsia" w:ascii="楷体_GB2312" w:eastAsia="楷体_GB2312" w:cs="仿宋_GB2312" w:hAnsiTheme="majorEastAsia"/>
          <w:bCs/>
        </w:rPr>
        <w:t>第三节 加快推进教育现代化</w:t>
      </w:r>
      <w:bookmarkEnd w:id="67"/>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全面落实立德树人根本任务，健全学校家庭社会协同育人机制，促进学生德智体美劳全面发展。</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加快普及学前三年普惠教育。</w:t>
      </w:r>
      <w:r>
        <w:rPr>
          <w:rFonts w:hint="eastAsia" w:ascii="仿宋_GB2312" w:hAnsi="仿宋" w:eastAsia="仿宋_GB2312" w:cs="仿宋_GB2312"/>
          <w:bCs/>
          <w:sz w:val="32"/>
        </w:rPr>
        <w:t>加大财政投入力度，建立健全统筹协调工作机制，形成推动学前教育发展的合力。</w:t>
      </w:r>
      <w:r>
        <w:rPr>
          <w:rFonts w:hint="eastAsia" w:ascii="仿宋" w:hAnsi="仿宋" w:eastAsia="仿宋"/>
          <w:sz w:val="32"/>
          <w:szCs w:val="32"/>
          <w:shd w:val="clear" w:color="auto" w:fill="FFFFFF"/>
        </w:rPr>
        <w:t>坚持公办民办并举，着力构建以普惠性资源为主体的学前教育办园体系，新改建18所公办幼儿园，扩建7所在办幼儿园，新增学前教育学位4860个，努力提高公办园在园幼儿比例。</w:t>
      </w:r>
      <w:r>
        <w:rPr>
          <w:rFonts w:hint="eastAsia" w:ascii="仿宋_GB2312" w:hAnsi="仿宋" w:eastAsia="仿宋_GB2312" w:cs="仿宋_GB2312"/>
          <w:bCs/>
          <w:sz w:val="32"/>
        </w:rPr>
        <w:t>积极鼓励社会力量兴办幼儿园，建立健全普惠性民办幼儿园扶持机制，大力提高普惠性民办园比重</w:t>
      </w:r>
      <w:r>
        <w:rPr>
          <w:rFonts w:hint="eastAsia" w:ascii="仿宋" w:hAnsi="仿宋" w:eastAsia="仿宋"/>
          <w:sz w:val="32"/>
          <w:szCs w:val="32"/>
          <w:shd w:val="clear" w:color="auto" w:fill="FFFFFF"/>
        </w:rPr>
        <w:t>。到2025年实现学前教育毛入园率90%，公办园在园幼儿占比65%，顺利通过国家学前教育普及普惠评估认定的目标。</w:t>
      </w:r>
      <w:r>
        <w:rPr>
          <w:rFonts w:hint="eastAsia" w:ascii="仿宋_GB2312" w:hAnsi="仿宋" w:eastAsia="仿宋_GB2312" w:cs="仿宋_GB2312"/>
          <w:bCs/>
          <w:sz w:val="32"/>
        </w:rPr>
        <w:t>规划建设一所特殊教育幼儿园，鼓励有条件的幼儿园接收普通残疾学龄儿童入园。全面提升学前教育质量，力争创建省示范园和省一级园3所、县示范园和县一级园15所。</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推进义务教育优质均衡发展。</w:t>
      </w:r>
      <w:r>
        <w:rPr>
          <w:rFonts w:hint="eastAsia" w:ascii="仿宋_GB2312" w:hAnsi="仿宋" w:eastAsia="仿宋_GB2312" w:cs="仿宋_GB2312"/>
          <w:bCs/>
          <w:sz w:val="32"/>
        </w:rPr>
        <w:t>完善城乡统一的义务教育经费保障机制，推动义务教育优质均衡发展和城乡一体化。按照合理撤并乡村小学和教学点、镇区办好初中的思路，进一步调整优化中小学空间布局结构，在临城新建城西学校、第二小学和第六小学，改扩建新盈、调楼、皇桐、红华、和舍等10个初级中学，改扩建文澜江中心、美台中心、龙波中心、和舍中心等21个完全小学和特殊教育学校，撤并生源少、规模小的教学点27个，积极探索“小学三年+学前教育三年（3+3）”幼小六年制的办学模式15个。全面改善农村学校办学条件，进一步推进义务教育学校标准化建设，大力加强农村小规模学校和乡镇寄宿制学校建设，稳步推进公益性校车接送服务，到2025年力争每一个镇建设好一所寄宿制初级中学和中心学校。</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推进高中阶段教育高质量发展。</w:t>
      </w:r>
      <w:r>
        <w:rPr>
          <w:rFonts w:hint="eastAsia" w:ascii="仿宋_GB2312" w:hAnsi="仿宋" w:eastAsia="仿宋_GB2312" w:cs="仿宋_GB2312"/>
          <w:bCs/>
          <w:sz w:val="32"/>
        </w:rPr>
        <w:t>扩大优质高中学位供给，新建临高县第四中学，引进优质教育资源兴办英特国际学校。推进高中教育免除学杂费，不断扩大高中免费教育覆盖面。加强与名牌高中的对接力度，大力引进高学历、高层次教师，全面提高普通高中师资水平，支持更多的学校开展国家级、省级示范学校创建活动。推进职业教育创新发展，加快培养实用型职业技术人才。推进县职业中学开门办学，利用现有资源，与有实力的职教集团或产业龙头企业联合办学，引进优质管理团队和高素质师资队伍。推动县职业中学改造升级，扩大招生规模，深化产教融合、校企合作、工学结合，加快培养数字经济、智能制造、科技农业、农旅文旅等实用型职业技术人才。促进普通高中与中等职业教育协调发展，扩大免费职业教育覆盖面，支持高中毕业未升学学生、退役军人、下岗职工、返乡农民工等接受高质量职业教育，提高就业再就业竞争力。</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深化教育改革开放。</w:t>
      </w:r>
      <w:r>
        <w:rPr>
          <w:rFonts w:hint="eastAsia" w:ascii="仿宋_GB2312" w:hAnsi="仿宋" w:eastAsia="仿宋_GB2312" w:cs="仿宋_GB2312"/>
          <w:bCs/>
          <w:sz w:val="32"/>
        </w:rPr>
        <w:t>推进教育人才引智行动计划，持续抓好“一县两校一园”建设，实施“好校长、好教师”和“银龄教育人才”引进工程，探索设立教育人才临高“候鸟”工作站。加大教师公开招聘力度，加快实施义务教育教师“县管校聘”改革，落实城乡统一的中小学教职工编制标准，完善城乡校长、教师交流轮岗制度，推进农村优质师资均衡配置，促进优秀教育人才向农村薄弱学校流动，全面提高农村义务教育教学质量。建立健全教师考核评价激励机制，调动广大教职员工提升教学水平的积极性。推进中小学教育信息化建设，大力发展数字教育和网络教学，开设专递课堂、同步课堂，推动优质教育资源共享发展。完善特殊教育保障机制，健全教育资助制度，实现家庭经济困难学生资助全覆盖。支持和规范民办教育发展，规范校外培训机构。深化职业教育改革开放，集中力量建设好现代职业教育创新发展试验区。</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完善终身教育体系。</w:t>
      </w:r>
      <w:r>
        <w:rPr>
          <w:rFonts w:hint="eastAsia" w:ascii="仿宋_GB2312" w:hAnsi="仿宋" w:eastAsia="仿宋_GB2312" w:cs="仿宋_GB2312"/>
          <w:bCs/>
          <w:sz w:val="32"/>
        </w:rPr>
        <w:t>稳步发展学历继续教育，大力发展非学历继续教育，为进城农民工、新型职业农民、现代产业工人和退役军人等重点人群提供优质的继续教育服务。加强继续教育基础能力建设，健全城乡教育网络，加快发展城乡社区教育和老年教育，加强镇级老人大学和村级老人学习点建设，充分发挥“候鸟”人才优势，提高县级老人大学办学质量。完善数字教育平台建设，办好开放大学，积极发展在线教育和远程教育。发挥公共文化机构、新闻媒体社会教育作用，推动优质教育资源向社会开放，倡导全民阅读，加快建设学习型社会。</w:t>
      </w:r>
    </w:p>
    <w:p>
      <w:pPr>
        <w:rPr>
          <w:rFonts w:ascii="仿宋_GB2312" w:hAnsi="仿宋_GB2312" w:eastAsia="仿宋_GB2312" w:cs="仿宋_GB2312"/>
          <w:bCs/>
          <w:sz w:val="32"/>
        </w:rPr>
      </w:pPr>
    </w:p>
    <w:tbl>
      <w:tblPr>
        <w:tblStyle w:val="12"/>
        <w:tblW w:w="8794" w:type="dxa"/>
        <w:jc w:val="center"/>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600" w:hRule="atLeast"/>
          <w:jc w:val="center"/>
        </w:trPr>
        <w:tc>
          <w:tcPr>
            <w:tcW w:w="8794"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专栏19  教育现代化重点建设项目  </w:t>
            </w:r>
          </w:p>
        </w:tc>
      </w:tr>
      <w:tr>
        <w:tblPrEx>
          <w:tblCellMar>
            <w:top w:w="0" w:type="dxa"/>
            <w:left w:w="108" w:type="dxa"/>
            <w:bottom w:w="0" w:type="dxa"/>
            <w:right w:w="108" w:type="dxa"/>
          </w:tblCellMar>
        </w:tblPrEx>
        <w:trPr>
          <w:trHeight w:val="300" w:hRule="atLeast"/>
          <w:jc w:val="center"/>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 w:hAnsi="楷体" w:eastAsia="楷体" w:cs="宋体"/>
                <w:color w:val="000000"/>
                <w:kern w:val="0"/>
                <w:sz w:val="24"/>
                <w:szCs w:val="24"/>
              </w:rPr>
            </w:pPr>
            <w:r>
              <w:rPr>
                <w:rFonts w:hint="eastAsia" w:ascii="楷体" w:hAnsi="楷体" w:eastAsia="楷体" w:cs="宋体"/>
                <w:color w:val="000000"/>
                <w:kern w:val="0"/>
                <w:sz w:val="24"/>
                <w:szCs w:val="24"/>
              </w:rPr>
              <w:t xml:space="preserve">    </w:t>
            </w:r>
          </w:p>
          <w:p>
            <w:pPr>
              <w:widowControl/>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（一）农村公办幼儿园建设</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新改建18所公办幼儿园，扩建7所在办幼儿园，新增学前教育学位4860个。</w:t>
            </w:r>
          </w:p>
        </w:tc>
      </w:tr>
      <w:tr>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（二）中小学建设</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新建临高县第四中学、第二小学、第六小学。</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（三）义务教育薄弱环节改善与能力提升</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新改扩建校舍面积25000平方米；运动场、校门、围墙、排水、硬化等附属设施；添置设备3000万元。</w:t>
            </w:r>
          </w:p>
        </w:tc>
      </w:tr>
      <w:tr>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ind w:firstLine="468"/>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（四）普通高中基础设施改扩建</w:t>
            </w:r>
          </w:p>
          <w:p>
            <w:pPr>
              <w:widowControl/>
              <w:ind w:firstLine="468"/>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改扩建临高中学、新盈中学基础设施，完善教学仪器、信息化、图书等设备。</w:t>
            </w:r>
          </w:p>
        </w:tc>
      </w:tr>
      <w:tr>
        <w:tblPrEx>
          <w:tblCellMar>
            <w:top w:w="0" w:type="dxa"/>
            <w:left w:w="108" w:type="dxa"/>
            <w:bottom w:w="0" w:type="dxa"/>
            <w:right w:w="108" w:type="dxa"/>
          </w:tblCellMar>
        </w:tblPrEx>
        <w:trPr>
          <w:trHeight w:val="61"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 w:hAnsi="楷体" w:eastAsia="楷体" w:cs="宋体"/>
                <w:color w:val="000000"/>
                <w:kern w:val="0"/>
                <w:sz w:val="24"/>
                <w:szCs w:val="24"/>
              </w:rPr>
            </w:pP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ind w:firstLine="480" w:firstLineChars="200"/>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（五）中小学扩建</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调楼中学扩建、东英中学扩建、红华中学扩建；第三中学艺术、宿舍综合楼，第一思源艺术、宿舍综合楼；临高县中等职业技术学校学生宿舍楼及运动场地。</w:t>
            </w:r>
          </w:p>
        </w:tc>
      </w:tr>
      <w:tr>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（六）教育科研大楼建设</w:t>
            </w:r>
          </w:p>
        </w:tc>
      </w:tr>
      <w:tr>
        <w:tblPrEx>
          <w:tblCellMar>
            <w:top w:w="0" w:type="dxa"/>
            <w:left w:w="108" w:type="dxa"/>
            <w:bottom w:w="0" w:type="dxa"/>
            <w:right w:w="108" w:type="dxa"/>
          </w:tblCellMar>
        </w:tblPrEx>
        <w:trPr>
          <w:trHeight w:val="1248"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党校新培训综合大楼、临高县教育科研大楼、临高县中等职业技术学校综合教学楼、临高县特殊教育学校综合教学楼改造、临高县青少年学生生活中心艺术楼、临高县实验小学综合楼、博厚中心学校教学综合楼、南宝中学教学综合楼、红华中心学校教学综合楼等。</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（七）师生宿舍建设</w:t>
            </w:r>
          </w:p>
        </w:tc>
      </w:tr>
      <w:tr>
        <w:tblPrEx>
          <w:tblCellMar>
            <w:top w:w="0" w:type="dxa"/>
            <w:left w:w="108" w:type="dxa"/>
            <w:bottom w:w="0" w:type="dxa"/>
            <w:right w:w="108" w:type="dxa"/>
          </w:tblCellMar>
        </w:tblPrEx>
        <w:trPr>
          <w:trHeight w:val="624"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临高中学教师周转宿舍、新盈中学教师周转宿舍、红华中学教师周转房、临高二中学生及教师宿舍楼、新盈中学学生及教师宿舍楼等。</w:t>
            </w:r>
          </w:p>
        </w:tc>
      </w:tr>
      <w:tr>
        <w:trPr>
          <w:trHeight w:val="312"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（八）学生食宿楼建设</w:t>
            </w:r>
          </w:p>
        </w:tc>
      </w:tr>
      <w:tr>
        <w:tblPrEx>
          <w:tblCellMar>
            <w:top w:w="0" w:type="dxa"/>
            <w:left w:w="108" w:type="dxa"/>
            <w:bottom w:w="0" w:type="dxa"/>
            <w:right w:w="108" w:type="dxa"/>
          </w:tblCellMar>
        </w:tblPrEx>
        <w:trPr>
          <w:trHeight w:val="936" w:hRule="atLeast"/>
          <w:jc w:val="center"/>
        </w:trPr>
        <w:tc>
          <w:tcPr>
            <w:tcW w:w="8794" w:type="dxa"/>
            <w:tcBorders>
              <w:top w:val="nil"/>
              <w:left w:val="single" w:color="auto" w:sz="4" w:space="0"/>
              <w:bottom w:val="nil"/>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临高中学、美台中学、波莲中学、博厚中学、皇桐中学、南宝中学、加来中学；临城镇第四小学、多文学校、红华中心学校、波莲中心学校、加来中心学校、美良中心学校、调楼中心学校等。</w:t>
            </w:r>
          </w:p>
        </w:tc>
      </w:tr>
      <w:tr>
        <w:tblPrEx>
          <w:tblCellMar>
            <w:top w:w="0" w:type="dxa"/>
            <w:left w:w="108" w:type="dxa"/>
            <w:bottom w:w="0" w:type="dxa"/>
            <w:right w:w="108" w:type="dxa"/>
          </w:tblCellMar>
        </w:tblPrEx>
        <w:trPr>
          <w:trHeight w:val="312" w:hRule="atLeast"/>
          <w:jc w:val="center"/>
        </w:trPr>
        <w:tc>
          <w:tcPr>
            <w:tcW w:w="8794" w:type="dxa"/>
            <w:tcBorders>
              <w:top w:val="nil"/>
              <w:left w:val="single" w:color="auto" w:sz="4" w:space="0"/>
              <w:bottom w:val="nil"/>
              <w:right w:val="single" w:color="auto" w:sz="4" w:space="0"/>
            </w:tcBorders>
            <w:shd w:val="clear" w:color="000000" w:fill="DDEBF7"/>
            <w:noWrap/>
            <w:vAlign w:val="center"/>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（九）图书楼及体育运动设施建设</w:t>
            </w:r>
          </w:p>
        </w:tc>
      </w:tr>
      <w:tr>
        <w:tblPrEx>
          <w:tblCellMar>
            <w:top w:w="0" w:type="dxa"/>
            <w:left w:w="108" w:type="dxa"/>
            <w:bottom w:w="0" w:type="dxa"/>
            <w:right w:w="108" w:type="dxa"/>
          </w:tblCellMar>
        </w:tblPrEx>
        <w:trPr>
          <w:trHeight w:val="636" w:hRule="atLeast"/>
          <w:jc w:val="center"/>
        </w:trPr>
        <w:tc>
          <w:tcPr>
            <w:tcW w:w="8794"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红华中学图书综合楼、加来中学图书综合楼；临高二中体育场地改造及附属设施、和舍中学风雨操场。</w:t>
            </w:r>
          </w:p>
        </w:tc>
      </w:tr>
      <w:tr>
        <w:trPr>
          <w:trHeight w:val="300" w:hRule="atLeast"/>
          <w:jc w:val="center"/>
        </w:trPr>
        <w:tc>
          <w:tcPr>
            <w:tcW w:w="8794"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3"/>
        <w:jc w:val="center"/>
        <w:rPr>
          <w:rFonts w:ascii="楷体_GB2312" w:eastAsia="楷体_GB2312" w:cs="楷体" w:hAnsiTheme="majorEastAsia"/>
          <w:bCs/>
        </w:rPr>
      </w:pPr>
      <w:bookmarkStart w:id="68" w:name="_Toc64143040"/>
      <w:r>
        <w:rPr>
          <w:rFonts w:hint="eastAsia" w:ascii="楷体_GB2312" w:eastAsia="楷体_GB2312" w:cs="楷体" w:hAnsiTheme="majorEastAsia"/>
          <w:bCs/>
        </w:rPr>
        <w:t>第四节 健全多层次社会保障体系</w:t>
      </w:r>
      <w:bookmarkEnd w:id="68"/>
    </w:p>
    <w:p>
      <w:pPr>
        <w:spacing w:line="480" w:lineRule="auto"/>
        <w:ind w:firstLine="640" w:firstLineChars="200"/>
        <w:rPr>
          <w:rFonts w:ascii="仿宋_GB2312" w:hAnsi="仿宋" w:eastAsia="仿宋_GB2312" w:cs="仿宋_GB2312"/>
          <w:bCs/>
          <w:sz w:val="32"/>
        </w:rPr>
      </w:pPr>
      <w:r>
        <w:rPr>
          <w:rFonts w:hint="eastAsia" w:ascii="仿宋_GB2312" w:hAnsi="仿宋" w:eastAsia="仿宋_GB2312" w:cs="仿宋_GB2312"/>
          <w:bCs/>
          <w:sz w:val="32"/>
        </w:rPr>
        <w:t>坚持全覆盖、保基本、多层次、可持续的基本方针，按照兜底线、织密网、建机制的要求，健全覆盖全民、统筹城乡、公平统一、可持续的多层次社会保障体系。</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健全基本社会保险制度。</w:t>
      </w:r>
      <w:r>
        <w:rPr>
          <w:rFonts w:hint="eastAsia" w:ascii="仿宋_GB2312" w:hAnsi="仿宋" w:eastAsia="仿宋_GB2312" w:cs="仿宋_GB2312"/>
          <w:bCs/>
          <w:sz w:val="32"/>
        </w:rPr>
        <w:t>深入实施全民参保计划，重点将中小微企业和广大农民工、灵活就业人员、新就业形态人员、未参保城乡居民等群体纳入基本社会保险覆盖范围，不断扩大制度覆盖人群。采取积极措施，促进中小微企业和重点群体积极参保、持续缴费，促进和引导各类单位和符合条件的人员长期持续参保。完善统一的城乡居民基本医疗保险制度和大病保险制度，建立健全城乡居民重大疾病医疗保险和救助制度，完善应急医疗救助机制，推进城乡居民重大疾病医疗保险和救助制度落实，加强基本医保、大病保险和医疗救助的有效衔接，切实提高医疗保障水平。落实医保异地即时结算制度，基本实现异地就医住院费用直接结算，整体推进支付方式改革，全面统一城乡居民基本医保制度和管理体制，实现经办服务一体化。完善失业、工伤保险制度，充分发挥失业保险预防失业、促进就业的功能，加快建立预防、补偿、康复“三位一体”的工伤保险制度体系。积极发挥市场机制作用，促进基本社会保险与补充保险、商业保险相衔接，积极构建基本养老保险、职业（企业）年金与个人储蓄性养老保险、商业保险相衔接的养老保险体系，协同推进基本医疗保险、大病保险、补充医疗保险、商业健康保险发展，在保基本基础上满足人民群众多样化多层次的保障需求。</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健全社会保障公共服务体系。</w:t>
      </w:r>
      <w:r>
        <w:rPr>
          <w:rFonts w:hint="eastAsia" w:ascii="仿宋_GB2312" w:hAnsi="仿宋" w:eastAsia="仿宋_GB2312" w:cs="仿宋_GB2312"/>
          <w:bCs/>
          <w:sz w:val="32"/>
        </w:rPr>
        <w:t>进一步完善乡（镇）村、街道、社区社会保障经办服务平台建设，建成集网上经办、自助终端、移动终端、电话和短信等多种功能为一体的社保信息服务平台。健全全民参保登记，有效发挥社会保障“一卡通”服务管理的功能和作用，促进和引导企事业单位以及符合条件的人员长期持续参保。继续推动社会保险关系顺畅转移接续，推行网上认证和办理，方便参保职工和退休人员流动就业、异地生活。</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建立健全分层分类的社会救助体系。</w:t>
      </w:r>
      <w:r>
        <w:rPr>
          <w:rFonts w:hint="eastAsia" w:ascii="仿宋_GB2312" w:hAnsi="仿宋" w:eastAsia="仿宋_GB2312" w:cs="仿宋_GB2312"/>
          <w:bCs/>
          <w:sz w:val="32"/>
        </w:rPr>
        <w:t>按照保基本、兜底线、救急难、可持续的要求，实施城乡居民困难群体社会救助全覆盖，加快构建分层分类的救助制度体系。完善基本生活救助制度，规范完善最低生活保障制度，加强分类动态管理，分档或根据家庭成员人均收入与低保标准的实际差额发放低保金，对不符合低保条件的低收入家庭中的重度残疾人、重病患者等完全丧失劳动能力和部分丧失劳动能力且无法依靠产业就业帮扶脱贫的人员，采取必要措施保障其基本生活，将特困救助供养覆盖的未成年人年龄从16周岁延长至18周岁。健全医疗、教育、住房、就业、灾害等专项社会救助，发展法律援助、司法救助、身故困难群众基本殡葬服务、残疾儿童康复救助、重度残疾人护理补贴、孤儿基本生活保障、困境儿童保障等其他救助帮扶，将困难残疾人生活补贴延伸至低收入家庭。加强急难社会救助工作，对遭遇突发性、紧迫性、灾难性困难的家庭或个人加大临时救助力度，改进生活无着流浪乞讨人员救助管理，做好重大疫情等突发公共事件困难群众急难救助工作。</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进一步完善社会福利制度。</w:t>
      </w:r>
      <w:r>
        <w:rPr>
          <w:rFonts w:hint="eastAsia" w:ascii="仿宋_GB2312" w:hAnsi="仿宋" w:eastAsia="仿宋_GB2312" w:cs="仿宋_GB2312"/>
          <w:bCs/>
          <w:sz w:val="32"/>
        </w:rPr>
        <w:t>健全以扶老、爱幼、助残、济困为重点的社会福利制度，大力发展福利、慈善等社会公益事业。健全退役军人工作体系和保障制度，加强优抚安置工作，落实好军人“双退安置”政策。发展残疾人福利事业，健全残疾人关爱服务体系和设施建设，加强残疾人康复服务，维护残疾人合法权益。大力发展慈善事业，落实慈善税收优惠、费用减免等政策，鼓励支持自然人、法人、志愿及其他组织自愿开展慈善帮扶活动。</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加快建立绿色文明殡葬制度。</w:t>
      </w:r>
      <w:r>
        <w:rPr>
          <w:rFonts w:hint="eastAsia" w:ascii="仿宋_GB2312" w:hAnsi="仿宋" w:eastAsia="仿宋_GB2312" w:cs="仿宋_GB2312"/>
          <w:bCs/>
          <w:sz w:val="32"/>
        </w:rPr>
        <w:t>加快建设公共殡仪馆、公益性骨灰安放（葬）设施和公益性墓地，加快发展公益性基本殡葬服务，鼓励火葬和节地生态安葬，为城乡困难群众免费提供火葬和节地生态安葬服务，并实行抚恤奖励政策，下力气解决农村就地乱葬、困扰环境等难题。</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积极应对人口老龄化。</w:t>
      </w:r>
      <w:r>
        <w:rPr>
          <w:rFonts w:hint="eastAsia" w:ascii="仿宋_GB2312" w:hAnsi="仿宋" w:eastAsia="仿宋_GB2312" w:cs="仿宋_GB2312"/>
          <w:bCs/>
          <w:sz w:val="32"/>
        </w:rPr>
        <w:t>积极发展养老事业，健全基本养老服务体系，支持家庭承担养老功能，推进普惠型养老服务和互助性养老相结合，完善高龄津贴制度，完善社区居家养老服务体系，增强日间照料、居家养老服务、失能老年人托养等功能，提升农村敬老院养护水平。推动养老事业和养老产业协同发展，大力发展养老特别是社区养老服务业，对在社区提供日间照料、康复护理、助餐助行等服务的机构给予税费减免、资金支持、水电气热价格优惠等扶持，新建居住区应配套建设社区养老服务设施，改革完善医养结合政策，扩大长期护理保险制度试点。落实渐进式延迟法定退休年龄规定，规范发展“候鸟式”养老服务业，深入挖掘和积极利用各类“候鸟”老龄人力资源，大力发展“银发经济”。</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推进妇儿童事业高质量发展。</w:t>
      </w:r>
      <w:r>
        <w:rPr>
          <w:rFonts w:hint="eastAsia" w:ascii="仿宋_GB2312" w:hAnsi="仿宋" w:eastAsia="仿宋_GB2312" w:cs="仿宋_GB2312"/>
          <w:bCs/>
          <w:sz w:val="32"/>
        </w:rPr>
        <w:t>坚持男女平等，切实保障妇女儿童合法权益，严厉打击拐卖妇女儿童、暴力侵害妇女等违法犯罪行为，消除对妇女儿童的歧视和偏见，促进妇女儿童全面发展。优化生育政策，增强生育政策包容性，提高优生优育服务水平，发展0-3岁婴幼儿普惠性托育服务体系，加强农村留守儿童、孤儿、特殊儿童、失依儿童的关爱保护，做好困境儿童福利保障工作，降低生育、养育、教育成本，促进人口长期均衡发展，提高人口素质。</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建立完善多层次住房保障和供应体系。</w:t>
      </w:r>
      <w:r>
        <w:rPr>
          <w:rFonts w:hint="eastAsia" w:ascii="仿宋_GB2312" w:hAnsi="仿宋" w:eastAsia="仿宋_GB2312" w:cs="仿宋_GB2312"/>
          <w:sz w:val="32"/>
          <w:szCs w:val="32"/>
        </w:rPr>
        <w:t>坚持“房住不炒”的定位，落实房地产调控政策，促进房地产业提质增效、转型发展。进一步完善住房保障体系,</w:t>
      </w:r>
      <w:r>
        <w:rPr>
          <w:rFonts w:hint="eastAsia" w:ascii="仿宋_GB2312" w:hAnsi="仿宋" w:eastAsia="仿宋_GB2312" w:cs="仿宋_GB2312"/>
          <w:bCs/>
          <w:sz w:val="32"/>
        </w:rPr>
        <w:t>加快人才住房、安居型商品住房等保障性住房建设，满足本地居民保障性住房、改善性住房刚性需求。积极发展公共租赁住房、共有产权住房，继续实施城镇老旧小区改造和农村危房改造工程，满足本地困难群众基本住房需求。积极稳妥地盘活存量住宅房地产，大力发展商务、旅游、商业、工业等鼓励类房地产业。深入开展房地产市场秩序专项整治，规范商品住房销售租赁市场和物业管理服务业，严厉查处各类违法违规行为，推进房地产市场平稳健康发展。</w:t>
      </w: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722"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专栏20  民生建设重点项目  </w:t>
            </w:r>
          </w:p>
        </w:tc>
      </w:tr>
      <w:tr>
        <w:tblPrEx>
          <w:tblCellMar>
            <w:top w:w="0" w:type="dxa"/>
            <w:left w:w="108" w:type="dxa"/>
            <w:bottom w:w="0" w:type="dxa"/>
            <w:right w:w="108" w:type="dxa"/>
          </w:tblCellMar>
        </w:tblPrEx>
        <w:trPr>
          <w:trHeight w:val="372"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（一）基层社区综合服务站</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 xml:space="preserve"> 在全县11个镇（农场）新建24个社区综合服务站。</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（二）公益性公墓</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在全县11个镇（农场）新建11个公益性公墓。</w:t>
            </w:r>
          </w:p>
        </w:tc>
      </w:tr>
      <w:tr>
        <w:tblPrEx>
          <w:tblCellMar>
            <w:top w:w="0" w:type="dxa"/>
            <w:left w:w="108" w:type="dxa"/>
            <w:bottom w:w="0" w:type="dxa"/>
            <w:right w:w="108" w:type="dxa"/>
          </w:tblCellMar>
        </w:tblPrEx>
        <w:trPr>
          <w:trHeight w:val="391"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（三）社会养老院配套设施</w:t>
            </w:r>
          </w:p>
        </w:tc>
      </w:tr>
      <w:tr>
        <w:tblPrEx>
          <w:tblCellMar>
            <w:top w:w="0" w:type="dxa"/>
            <w:left w:w="108" w:type="dxa"/>
            <w:bottom w:w="0" w:type="dxa"/>
            <w:right w:w="108" w:type="dxa"/>
          </w:tblCellMar>
        </w:tblPrEx>
        <w:trPr>
          <w:trHeight w:val="425"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养老院（室）内外水电安装配套、护理用床、护理用具等设施建设和用品配置。</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（四）流浪乞讨人员救助管理站</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建设救助值班室、安检室、救助管理室、工作人员住房、救助安置房、学习活动区、生活区、厨房、车库等2亩地1330平方及其他配套设施等。</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（五）儿童福利院配套设施</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建设儿童福利院室内外水电安装配套 用品用床 护理用具等设施建设和用品配置。</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（六）普惠性托育服务体系</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建设0-3岁婴幼儿普惠性托育服务体系，力争达到每千人口拥有3岁以下婴幼儿托位数3个。</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（七）保障性住房</w:t>
            </w:r>
          </w:p>
        </w:tc>
      </w:tr>
      <w:tr>
        <w:tblPrEx>
          <w:tblCellMar>
            <w:top w:w="0" w:type="dxa"/>
            <w:left w:w="108" w:type="dxa"/>
            <w:bottom w:w="0" w:type="dxa"/>
            <w:right w:w="108" w:type="dxa"/>
          </w:tblCellMar>
        </w:tblPrEx>
        <w:trPr>
          <w:trHeight w:val="709"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新建安居型住房7308套、69.27万平米，安置性住房5484套、49.35万平米，公共租赁住房和社会租赁住房9869套、76.89万平米。</w:t>
            </w:r>
          </w:p>
        </w:tc>
      </w:tr>
      <w:tr>
        <w:tblPrEx>
          <w:tblCellMar>
            <w:top w:w="0" w:type="dxa"/>
            <w:left w:w="108" w:type="dxa"/>
            <w:bottom w:w="0" w:type="dxa"/>
            <w:right w:w="108" w:type="dxa"/>
          </w:tblCellMar>
        </w:tblPrEx>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3"/>
        <w:jc w:val="center"/>
        <w:rPr>
          <w:rFonts w:ascii="楷体_GB2312" w:eastAsia="楷体_GB2312" w:cs="楷体" w:hAnsiTheme="majorEastAsia"/>
          <w:bCs/>
        </w:rPr>
      </w:pPr>
      <w:bookmarkStart w:id="69" w:name="_Toc64143041"/>
      <w:r>
        <w:rPr>
          <w:rFonts w:hint="eastAsia" w:ascii="楷体_GB2312" w:eastAsia="楷体_GB2312" w:cs="楷体" w:hAnsiTheme="majorEastAsia"/>
          <w:bCs/>
        </w:rPr>
        <w:t>第五节 推进健康临高建设</w:t>
      </w:r>
      <w:bookmarkEnd w:id="69"/>
    </w:p>
    <w:p>
      <w:pPr>
        <w:ind w:firstLine="640" w:firstLineChars="200"/>
        <w:rPr>
          <w:rFonts w:ascii="仿宋_GB2312" w:hAnsi="仿宋" w:eastAsia="仿宋_GB2312" w:cs="仿宋_GB2312"/>
          <w:bCs/>
          <w:sz w:val="32"/>
        </w:rPr>
      </w:pPr>
      <w:r>
        <w:rPr>
          <w:rFonts w:hint="eastAsia" w:ascii="仿宋_GB2312" w:hAnsi="仿宋" w:eastAsia="仿宋_GB2312" w:cs="仿宋_GB2312"/>
          <w:bCs/>
          <w:sz w:val="32"/>
        </w:rPr>
        <w:t>坚持预防为主，推动卫生健康理念和服务方式从以治病为中心转向以人民健康为中心，深入开展健康临高行动，全方位干预健康影响因素，着力提升人均预期寿命。</w:t>
      </w:r>
    </w:p>
    <w:p>
      <w:pPr>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加强公共卫生防控救治体系建设。</w:t>
      </w:r>
      <w:r>
        <w:rPr>
          <w:rFonts w:hint="eastAsia" w:ascii="仿宋_GB2312" w:hAnsi="仿宋" w:eastAsia="仿宋_GB2312" w:cs="仿宋_GB2312"/>
          <w:bCs/>
          <w:sz w:val="32"/>
        </w:rPr>
        <w:t>全面实施公共卫生体系补短板、堵漏洞、强弱项工程，着力提高重大疫情防控救治能力。推进县疾控中心改造升级，加强现场检验检测、流行病学调查、应急处置等学科建设，提升疫情发现和现场处置能力。推进县人民医院、县中医院改造升级工程和重点专科建设，改善发热门诊、急诊部、住院部、医技科室等业务用房条件，加强感染性疾病科和相对独立的传染病病区建设，扩增可转换病区重症监护病区（ICU）床位，完善检验检测仪器设备配置，提高快速检测和诊治水平，在重大疫情发生时县级医院要达到能够迅速开放80-100张传染病病床的能力。推进公共设施平战两用改造，提高体育场馆、展览馆(会展中心)等公共设施建设标准，完善场地设置、通风系统、后勤保障设计，预留管道、信息等接口和改造空间，具备快速转化为救治和隔离场所的基本条件。积极推进县急救中心、新盈、调楼、加来、红华等急救站建设，提高急救公共卫生服务能力。充分发挥县级医院龙头作用，辐射带动县域内医疗服务能力和水平整体提升，筑牢疫情救治第一道关口。继续推进乡镇卫生院、社区卫生服务中心、村卫生室等基层医疗卫生机构标准化建设，形成县域内医疗救治和疫情防控合力。积极发展数字医疗，推进远程医疗、智慧医院等项目建设，探索利用人工智能、大数据、云计算、区块链等技术创新医疗服务新型模式，提高对重大疾病和重大疫情防控救治能力。</w:t>
      </w:r>
    </w:p>
    <w:tbl>
      <w:tblPr>
        <w:tblStyle w:val="12"/>
        <w:tblW w:w="8920" w:type="dxa"/>
        <w:jc w:val="center"/>
        <w:tblLayout w:type="autofit"/>
        <w:tblCellMar>
          <w:top w:w="0" w:type="dxa"/>
          <w:left w:w="108" w:type="dxa"/>
          <w:bottom w:w="0" w:type="dxa"/>
          <w:right w:w="108" w:type="dxa"/>
        </w:tblCellMar>
      </w:tblPr>
      <w:tblGrid>
        <w:gridCol w:w="8920"/>
      </w:tblGrid>
      <w:tr>
        <w:tblPrEx>
          <w:tblCellMar>
            <w:top w:w="0" w:type="dxa"/>
            <w:left w:w="108" w:type="dxa"/>
            <w:bottom w:w="0" w:type="dxa"/>
            <w:right w:w="108" w:type="dxa"/>
          </w:tblCellMar>
        </w:tblPrEx>
        <w:trPr>
          <w:trHeight w:val="600" w:hRule="atLeast"/>
          <w:jc w:val="center"/>
        </w:trPr>
        <w:tc>
          <w:tcPr>
            <w:tcW w:w="8920"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专栏21  公共卫生防控救治体系建设重点项目  </w:t>
            </w:r>
          </w:p>
        </w:tc>
      </w:tr>
      <w:tr>
        <w:tblPrEx>
          <w:tblCellMar>
            <w:top w:w="0" w:type="dxa"/>
            <w:left w:w="108" w:type="dxa"/>
            <w:bottom w:w="0" w:type="dxa"/>
            <w:right w:w="108" w:type="dxa"/>
          </w:tblCellMar>
        </w:tblPrEx>
        <w:trPr>
          <w:trHeight w:val="300" w:hRule="atLeast"/>
          <w:jc w:val="center"/>
        </w:trPr>
        <w:tc>
          <w:tcPr>
            <w:tcW w:w="8920"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（一）临高县人民医院</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续建内科住院楼，新建传染病综合救治能力提升工程项目。</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（二）临高县中医院</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续建康复住院楼，新建发热门诊项目。</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（三）临高县疾病预防控制中心</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续建物资保障大楼，新建实验室改造和能力提升工程项目。</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（四）临高县急救中心</w:t>
            </w:r>
          </w:p>
        </w:tc>
      </w:tr>
      <w:tr>
        <w:tblPrEx>
          <w:tblCellMar>
            <w:top w:w="0" w:type="dxa"/>
            <w:left w:w="108" w:type="dxa"/>
            <w:bottom w:w="0" w:type="dxa"/>
            <w:right w:w="108" w:type="dxa"/>
          </w:tblCellMar>
        </w:tblPrEx>
        <w:trPr>
          <w:trHeight w:val="936"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建设急救指挥系统建设1套、救护车车库15个，其中5个车库具备洗消设施设备，为负压救护车提供独立的消毒；购置负压救护车5辆（含负压系统），监护救护车5辆（含监护仪和呼吸机）。</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（五）临高县皮肤性病和精神卫生防治中心</w:t>
            </w:r>
          </w:p>
        </w:tc>
      </w:tr>
      <w:tr>
        <w:tblPrEx>
          <w:tblCellMar>
            <w:top w:w="0" w:type="dxa"/>
            <w:left w:w="108" w:type="dxa"/>
            <w:bottom w:w="0" w:type="dxa"/>
            <w:right w:w="108" w:type="dxa"/>
          </w:tblCellMar>
        </w:tblPrEx>
        <w:trPr>
          <w:trHeight w:val="624"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新建一栋地上三层精神病门诊楼，面积1800</w:t>
            </w:r>
            <w:r>
              <w:rPr>
                <w:rFonts w:hint="eastAsia" w:ascii="仿宋_GB2312" w:hAnsi="楷体" w:eastAsia="楷体" w:cs="宋体"/>
                <w:color w:val="000000"/>
                <w:kern w:val="0"/>
                <w:sz w:val="24"/>
                <w:szCs w:val="24"/>
              </w:rPr>
              <w:t>㎡</w:t>
            </w:r>
            <w:r>
              <w:rPr>
                <w:rFonts w:hint="eastAsia" w:ascii="仿宋_GB2312" w:hAnsi="楷体" w:eastAsia="仿宋_GB2312" w:cs="宋体"/>
                <w:color w:val="000000"/>
                <w:kern w:val="0"/>
                <w:sz w:val="24"/>
                <w:szCs w:val="24"/>
              </w:rPr>
              <w:t>；对现有的门诊楼、产科楼、供应室、免疫门诊、设备房等进行装修改造，改造面积4056</w:t>
            </w:r>
            <w:r>
              <w:rPr>
                <w:rFonts w:hint="eastAsia" w:ascii="仿宋_GB2312" w:hAnsi="楷体" w:eastAsia="楷体" w:cs="宋体"/>
                <w:color w:val="000000"/>
                <w:kern w:val="0"/>
                <w:sz w:val="24"/>
                <w:szCs w:val="24"/>
              </w:rPr>
              <w:t>㎡</w:t>
            </w:r>
            <w:r>
              <w:rPr>
                <w:rFonts w:hint="eastAsia" w:ascii="仿宋_GB2312" w:hAnsi="楷体" w:eastAsia="仿宋_GB2312" w:cs="宋体"/>
                <w:color w:val="000000"/>
                <w:kern w:val="0"/>
                <w:sz w:val="24"/>
                <w:szCs w:val="24"/>
              </w:rPr>
              <w:t>。</w:t>
            </w:r>
          </w:p>
        </w:tc>
      </w:tr>
      <w:tr>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（六）基层卫生院</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对全县15家乡镇卫生院实施搬迁和标准化建设，新建临高角社区服务中心。</w:t>
            </w:r>
          </w:p>
        </w:tc>
      </w:tr>
      <w:tr>
        <w:tblPrEx>
          <w:tblCellMar>
            <w:top w:w="0" w:type="dxa"/>
            <w:left w:w="108" w:type="dxa"/>
            <w:bottom w:w="0" w:type="dxa"/>
            <w:right w:w="108" w:type="dxa"/>
          </w:tblCellMar>
        </w:tblPrEx>
        <w:trPr>
          <w:trHeight w:val="312" w:hRule="atLeast"/>
          <w:jc w:val="center"/>
        </w:trPr>
        <w:tc>
          <w:tcPr>
            <w:tcW w:w="8920"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（七）加来农场医院卫生急救站</w:t>
            </w:r>
          </w:p>
        </w:tc>
      </w:tr>
      <w:tr>
        <w:tblPrEx>
          <w:tblCellMar>
            <w:top w:w="0" w:type="dxa"/>
            <w:left w:w="108" w:type="dxa"/>
            <w:bottom w:w="0" w:type="dxa"/>
            <w:right w:w="108" w:type="dxa"/>
          </w:tblCellMar>
        </w:tblPrEx>
        <w:trPr>
          <w:trHeight w:val="324" w:hRule="atLeast"/>
          <w:jc w:val="center"/>
        </w:trPr>
        <w:tc>
          <w:tcPr>
            <w:tcW w:w="8920" w:type="dxa"/>
            <w:tcBorders>
              <w:top w:val="nil"/>
              <w:left w:val="single" w:color="auto" w:sz="4" w:space="0"/>
              <w:bottom w:val="double" w:color="auto" w:sz="6" w:space="0"/>
              <w:right w:val="single" w:color="auto" w:sz="4" w:space="0"/>
            </w:tcBorders>
            <w:shd w:val="clear" w:color="000000" w:fill="DDEBF7"/>
            <w:vAlign w:val="center"/>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新建一栋400</w:t>
            </w:r>
            <w:r>
              <w:rPr>
                <w:rFonts w:hint="eastAsia" w:ascii="仿宋_GB2312" w:hAnsi="楷体" w:eastAsia="楷体" w:cs="宋体"/>
                <w:color w:val="000000"/>
                <w:kern w:val="0"/>
                <w:sz w:val="24"/>
                <w:szCs w:val="24"/>
              </w:rPr>
              <w:t>㎡</w:t>
            </w:r>
            <w:r>
              <w:rPr>
                <w:rFonts w:hint="eastAsia" w:ascii="仿宋_GB2312" w:hAnsi="楷体" w:eastAsia="仿宋_GB2312" w:cs="宋体"/>
                <w:color w:val="000000"/>
                <w:kern w:val="0"/>
                <w:sz w:val="24"/>
                <w:szCs w:val="24"/>
              </w:rPr>
              <w:t>以上卫生急救站，内设急救科、通讯调度室、车管科。</w:t>
            </w:r>
          </w:p>
        </w:tc>
      </w:tr>
      <w:tr>
        <w:trPr>
          <w:trHeight w:val="300" w:hRule="atLeast"/>
          <w:jc w:val="center"/>
        </w:trPr>
        <w:tc>
          <w:tcPr>
            <w:tcW w:w="8920"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spacing w:line="480" w:lineRule="auto"/>
        <w:ind w:firstLine="642" w:firstLineChars="200"/>
        <w:rPr>
          <w:rFonts w:ascii="仿宋_GB2312" w:hAnsi="仿宋_GB2312" w:eastAsia="仿宋_GB2312" w:cs="仿宋_GB2312"/>
          <w:bCs/>
          <w:sz w:val="32"/>
        </w:rPr>
      </w:pPr>
      <w:r>
        <w:rPr>
          <w:rFonts w:hint="eastAsia" w:ascii="仿宋_GB2312" w:hAnsi="楷体" w:eastAsia="仿宋_GB2312" w:cs="仿宋_GB2312"/>
          <w:b/>
          <w:bCs/>
          <w:sz w:val="32"/>
        </w:rPr>
        <w:t>加强重大疾病预防治疗。</w:t>
      </w:r>
      <w:r>
        <w:rPr>
          <w:rFonts w:hint="eastAsia" w:ascii="仿宋_GB2312" w:hAnsi="仿宋" w:eastAsia="仿宋_GB2312" w:cs="仿宋_GB2312"/>
          <w:bCs/>
          <w:sz w:val="32"/>
        </w:rPr>
        <w:t>实施心脑血管、癌症、糖尿病和慢性呼吸系统等重大疾病防治行动，对高危人群和患者采取科学有效的干预措施。加强高血压、高血糖、血脂异常的规范管理，全面落实35岁以上人群首诊测血压制度，提高院前急救、静脉溶栓、动脉取栓等应急处置能力。积极预防癌症，推进早筛查、早诊断、早治疗，降低癌症发病率和死亡率，提高患者生存质量。加强慢阻肺患者健康管理，推行高危人群首诊测量肺功能、40岁及以上人群体检检测肺功能，提高基层医疗卫生机构肺功能检查能力。落实传染病及地方病防控行动，加强艾滋病、病毒性肝炎、结核病、新冠肺炎等重大传染病和地中海贫血等重大地方病防控，落实跟踪监测、适时干预和控制传染源、切断传播途径、保护易感人群等防控措施，加大对患者救治救助力度。规范预防接种服务管理，提高接种覆盖面，加强疫苗使用监测和风险评估。</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加强全生命周期健康维护和管理。</w:t>
      </w:r>
      <w:r>
        <w:rPr>
          <w:rFonts w:hint="eastAsia" w:ascii="仿宋_GB2312" w:hAnsi="仿宋" w:eastAsia="仿宋_GB2312" w:cs="仿宋_GB2312"/>
          <w:bCs/>
          <w:sz w:val="32"/>
        </w:rPr>
        <w:t>实施妇幼健康促进行动，加强孕产妇妊娠风险评估、高危孕产妇专案管理和新生儿重症救治能力建设，推行新生儿免费先天性心脏病筛查服务，扩大实施地中海贫血筛诊项目，提高婚检覆盖率与服务质量。实施中小学健康促进行动，降低以溺水、校园内猝死为重点的学生意外死亡，实施儿童青少年近视综合防控，把学校体育工作和学生体质健康状况纳入政府、部门和学校考核评价体系，实现规范化校医室全覆盖。实施职业健康保护行动，贯彻落实职业病防治法律法规标准，加大职业健康监督执法力度，鼓励用人单位开展职工健康管理，落实尘肺病等职业病救治保障措施，建立健全用人单位负责、行政机关监管、行业自律、职工参与和社会监督的职业病防治体系。实施老年健康促进行动，健全老年健康服务体系，完善居家和社区养老政策，推进医养结合，开展老年心理健康与精神关怀服务，探索长期护理保险制度，打造老年宜居环境，实现健康老龄化。</w:t>
      </w:r>
    </w:p>
    <w:p>
      <w:pPr>
        <w:spacing w:line="480" w:lineRule="auto"/>
        <w:ind w:firstLine="642" w:firstLineChars="200"/>
        <w:rPr>
          <w:rFonts w:ascii="仿宋_GB2312" w:hAnsi="仿宋_GB2312" w:eastAsia="仿宋_GB2312" w:cs="仿宋_GB2312"/>
          <w:bCs/>
          <w:sz w:val="32"/>
        </w:rPr>
      </w:pPr>
      <w:r>
        <w:rPr>
          <w:rFonts w:hint="eastAsia" w:ascii="仿宋_GB2312" w:hAnsi="楷体" w:eastAsia="仿宋_GB2312" w:cs="仿宋_GB2312"/>
          <w:b/>
          <w:bCs/>
          <w:sz w:val="32"/>
        </w:rPr>
        <w:t>倡导有益于身心健康的生活方式。</w:t>
      </w:r>
      <w:r>
        <w:rPr>
          <w:rFonts w:hint="eastAsia" w:ascii="仿宋_GB2312" w:hAnsi="仿宋" w:eastAsia="仿宋_GB2312" w:cs="仿宋_GB2312"/>
          <w:bCs/>
          <w:sz w:val="32"/>
        </w:rPr>
        <w:t>实施健康知识普及、合理膳食、全民健身、控烟限酒行动和心理健康、健康环境促进行动，全方位干预健康影响因素。根据不同人群特点有针对性地加强健康教育，让健康知识、行为和技能成为全体居民普遍具备的素质和能力，实现健康素养人人有。牢固树立每个人是自己健康第一责任人的理念，激发居民热爱健康、追求健康的热情，养成符合自身和家庭特点的健康生活方式，合理膳食、科学运动、戒烟限酒、心理平衡，实现健康生活少生病。对主要健康问题及影响因素尽早采取有效干预措施，提供系统连续的预防、治疗、康复、健康促进一体化服务，加强医疗保障政策与健康服务的衔接，实现早诊早治早康复。强化跨部门协作，鼓励和引导单位、社区（村）、家庭和个人行动起来，形成政府积极主导、社会广泛动员、人人尽责尽力的良好局面，实现健康临高行动齐参与。推动卫生（健康）城市、村镇创建，深入开展爱国卫生运动，完善全民健身公共服务体系，促进全民养成文明健康生活方式。</w:t>
      </w:r>
    </w:p>
    <w:p>
      <w:pPr>
        <w:spacing w:line="480" w:lineRule="auto"/>
        <w:ind w:firstLine="642" w:firstLineChars="200"/>
        <w:rPr>
          <w:rFonts w:ascii="仿宋_GB2312" w:hAnsi="仿宋_GB2312" w:eastAsia="仿宋_GB2312" w:cs="仿宋_GB2312"/>
          <w:bCs/>
          <w:sz w:val="32"/>
        </w:rPr>
      </w:pPr>
      <w:r>
        <w:rPr>
          <w:rFonts w:hint="eastAsia" w:ascii="仿宋_GB2312" w:hAnsi="楷体" w:eastAsia="仿宋_GB2312" w:cs="仿宋_GB2312"/>
          <w:b/>
          <w:bCs/>
          <w:sz w:val="32"/>
        </w:rPr>
        <w:t>促进中医药创新发展。</w:t>
      </w:r>
      <w:r>
        <w:rPr>
          <w:rFonts w:hint="eastAsia" w:ascii="仿宋_GB2312" w:hAnsi="仿宋" w:eastAsia="仿宋_GB2312" w:cs="仿宋_GB2312"/>
          <w:bCs/>
          <w:sz w:val="32"/>
        </w:rPr>
        <w:t>实施中医药和健康产业促进行动，完善中医药服务体系，提升县中医院的建设标准和医疗服务水平，推进乡镇卫生院、社区卫生服务中心开设特色中医药门诊，鼓励乡村卫生室为广大群众提供中医药医疗健康服务，发挥中医在疾病治疗、预防、控制和身心康复中的积极作用。深化中医药改革开放，积极引进中医药教育、研发机构和创新型企业、高端人才，推进中医药数字化、现代化、产业化，促进中医药传承创新。</w:t>
      </w:r>
    </w:p>
    <w:p>
      <w:pPr>
        <w:spacing w:line="480" w:lineRule="auto"/>
        <w:ind w:firstLine="642" w:firstLineChars="200"/>
        <w:rPr>
          <w:rFonts w:ascii="仿宋_GB2312" w:hAnsi="仿宋" w:eastAsia="仿宋_GB2312" w:cs="仿宋_GB2312"/>
          <w:bCs/>
          <w:sz w:val="32"/>
        </w:rPr>
      </w:pPr>
      <w:r>
        <w:rPr>
          <w:rFonts w:hint="eastAsia" w:ascii="仿宋_GB2312" w:hAnsi="楷体" w:eastAsia="仿宋_GB2312" w:cs="仿宋_GB2312"/>
          <w:b/>
          <w:bCs/>
          <w:sz w:val="32"/>
        </w:rPr>
        <w:t>深化医药卫生体制改革。</w:t>
      </w:r>
      <w:r>
        <w:rPr>
          <w:rFonts w:hint="eastAsia" w:ascii="仿宋_GB2312" w:hAnsi="仿宋" w:eastAsia="仿宋_GB2312" w:cs="仿宋_GB2312"/>
          <w:bCs/>
          <w:sz w:val="32"/>
        </w:rPr>
        <w:t>进一步深化医疗、医保、医药“三医”联动改革，逐步实现人民群众得实惠、医务人员受鼓舞、医保基金可负担、财政投入可持续的改革目标。完善医药卫生领导体制和工作推动机制，逐步将组织、编制、人社、财政、医保、卫生健康等多部门对医院管理权集中到医院管理委员会进行统一管理。推动公立医院改革，推进人事、编制、职称、薪酬、补偿机制等综合性改革，加快建立现代医院制度。深化医保领域综合改革，推进医保经办机构、医保支付方式、医疗服务价格等改革。深化药品耗材领域改革，进一步完善集中采购医用耗材和基本药物制度。加快构建优质高效的整合型医疗卫生服务体系，继续实施“一县一院”工程和“好医生、好院长”“妇幼双百”人才引进计划，推广“县属乡用、乡属村用”和基层医疗卫生机构人才激励政策。</w:t>
      </w:r>
    </w:p>
    <w:p>
      <w:pPr>
        <w:pStyle w:val="2"/>
        <w:spacing w:line="240" w:lineRule="auto"/>
        <w:ind w:firstLine="627" w:firstLineChars="196"/>
        <w:rPr>
          <w:rFonts w:ascii="黑体" w:hAnsi="黑体" w:eastAsia="黑体" w:cs="仿宋_GB2312"/>
          <w:b w:val="0"/>
          <w:bCs/>
          <w:sz w:val="32"/>
          <w:szCs w:val="32"/>
        </w:rPr>
      </w:pPr>
      <w:bookmarkStart w:id="70" w:name="_Toc10996"/>
      <w:bookmarkStart w:id="71" w:name="_Toc45976681"/>
      <w:bookmarkStart w:id="72" w:name="_Toc64143042"/>
      <w:r>
        <w:rPr>
          <w:rFonts w:hint="eastAsia" w:ascii="黑体" w:hAnsi="黑体" w:eastAsia="黑体" w:cs="仿宋_GB2312"/>
          <w:b w:val="0"/>
          <w:bCs/>
          <w:sz w:val="32"/>
          <w:szCs w:val="32"/>
        </w:rPr>
        <w:t xml:space="preserve">第十一章 </w:t>
      </w:r>
      <w:bookmarkEnd w:id="70"/>
      <w:bookmarkEnd w:id="71"/>
      <w:r>
        <w:rPr>
          <w:rFonts w:hint="eastAsia" w:ascii="黑体" w:hAnsi="黑体" w:eastAsia="黑体" w:cs="仿宋_GB2312"/>
          <w:b w:val="0"/>
          <w:bCs/>
          <w:sz w:val="32"/>
          <w:szCs w:val="32"/>
        </w:rPr>
        <w:t>统筹发展和安全，加快建设平安临高和谐临高</w:t>
      </w:r>
      <w:bookmarkEnd w:id="72"/>
    </w:p>
    <w:p>
      <w:pPr>
        <w:ind w:firstLine="640" w:firstLineChars="200"/>
        <w:rPr>
          <w:rFonts w:ascii="仿宋_GB2312" w:hAnsi="仿宋" w:eastAsia="仿宋_GB2312" w:cs="楷体"/>
          <w:sz w:val="32"/>
          <w:szCs w:val="32"/>
        </w:rPr>
      </w:pPr>
      <w:bookmarkStart w:id="73" w:name="_Toc45976682"/>
      <w:r>
        <w:rPr>
          <w:rFonts w:hint="eastAsia" w:ascii="仿宋_GB2312" w:hAnsi="仿宋" w:eastAsia="仿宋_GB2312" w:cs="仿宋"/>
          <w:bCs/>
          <w:sz w:val="32"/>
          <w:szCs w:val="32"/>
        </w:rPr>
        <w:t>全面落实总体国家安全观，强化“大平安”理念，坚持底线思维，统筹传统安全和非传统安全，完善平安建设体系，加强和创新社会治理，防范和化解各种风险，提高人民群众安全感。</w:t>
      </w:r>
    </w:p>
    <w:p>
      <w:pPr>
        <w:pStyle w:val="3"/>
        <w:spacing w:line="240" w:lineRule="auto"/>
        <w:jc w:val="center"/>
        <w:rPr>
          <w:rFonts w:ascii="楷体_GB2312" w:eastAsia="楷体_GB2312" w:cs="楷体" w:hAnsiTheme="majorEastAsia"/>
          <w:szCs w:val="32"/>
        </w:rPr>
      </w:pPr>
      <w:bookmarkStart w:id="74" w:name="_Toc45976683"/>
      <w:bookmarkStart w:id="75" w:name="_Toc64143043"/>
      <w:r>
        <w:rPr>
          <w:rFonts w:hint="eastAsia" w:ascii="楷体_GB2312" w:eastAsia="楷体_GB2312" w:cs="楷体" w:hAnsiTheme="majorEastAsia"/>
          <w:szCs w:val="32"/>
        </w:rPr>
        <w:t xml:space="preserve">第一节 </w:t>
      </w:r>
      <w:bookmarkEnd w:id="74"/>
      <w:r>
        <w:rPr>
          <w:rFonts w:hint="eastAsia" w:ascii="楷体_GB2312" w:eastAsia="楷体_GB2312" w:cs="楷体" w:hAnsiTheme="majorEastAsia"/>
          <w:szCs w:val="32"/>
        </w:rPr>
        <w:t>落实自由贸易港法治体系</w:t>
      </w:r>
      <w:bookmarkEnd w:id="75"/>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加快建立中国特色自由贸易港法治体系，提高依法治理水平，加快建设更高水平、更加开放的法治临高。</w:t>
      </w:r>
    </w:p>
    <w:p>
      <w:pPr>
        <w:ind w:firstLine="642" w:firstLineChars="200"/>
        <w:rPr>
          <w:rFonts w:ascii="仿宋_GB2312" w:hAnsi="仿宋" w:eastAsia="仿宋_GB2312" w:cs="楷体"/>
          <w:sz w:val="32"/>
          <w:szCs w:val="32"/>
        </w:rPr>
      </w:pPr>
      <w:r>
        <w:rPr>
          <w:rFonts w:hint="eastAsia" w:ascii="仿宋_GB2312" w:hAnsi="楷体" w:eastAsia="仿宋_GB2312" w:cs="仿宋"/>
          <w:b/>
          <w:sz w:val="32"/>
          <w:szCs w:val="32"/>
        </w:rPr>
        <w:t>建立健全自由贸易港法治体系。</w:t>
      </w:r>
      <w:r>
        <w:rPr>
          <w:rFonts w:hint="eastAsia" w:ascii="仿宋_GB2312" w:hAnsi="仿宋" w:eastAsia="仿宋_GB2312" w:cs="楷体"/>
          <w:sz w:val="32"/>
          <w:szCs w:val="32"/>
        </w:rPr>
        <w:t>认真落实《海南自由贸易港法》和自贸港相关条例等法律法规，全面落实世贸组织《贸易便利化协定》中规定的便利化措施。加快建立多元化国际商事纠纷解决机制，推动设立涉外民商事法庭，积极引进国际商事仲裁机构、国际商事调解机构等多元纠纷解决机构。建立健全公平竞争制度，进一步落实竞争政策的基础性地位，维护公平竞争市场秩序，确保各类所有制市场主体在要素获取、标准制定、准入许可、经营运营、优惠政策、政府采购等方面享受平等待遇。完善产权保护制度，依法保护私人和法人财产权，加强对中小投资者的保护，建立健全知识产权领域市场主体信用分类监管、失信惩戒等机制，加大知识产权侵权惩罚力度。深化司法改革，完善监察权、审判权、检察权运行和监督机制，推动建设公正、高效、权威司法制度,切实保障法官检察官依法履职，加强对司法活动的监督，促进司法公正与效率提升，为自贸港建设提供法治保障。</w:t>
      </w:r>
    </w:p>
    <w:p>
      <w:pPr>
        <w:ind w:firstLine="642" w:firstLineChars="200"/>
        <w:rPr>
          <w:rFonts w:ascii="仿宋_GB2312" w:hAnsi="仿宋" w:eastAsia="仿宋_GB2312" w:cs="楷体"/>
          <w:sz w:val="32"/>
          <w:szCs w:val="32"/>
        </w:rPr>
      </w:pPr>
      <w:r>
        <w:rPr>
          <w:rFonts w:hint="eastAsia" w:ascii="仿宋_GB2312" w:hAnsi="楷体" w:eastAsia="仿宋_GB2312" w:cs="仿宋"/>
          <w:b/>
          <w:sz w:val="32"/>
          <w:szCs w:val="32"/>
        </w:rPr>
        <w:t>加快建设法治政府。</w:t>
      </w:r>
      <w:r>
        <w:rPr>
          <w:rFonts w:hint="eastAsia" w:ascii="仿宋_GB2312" w:hAnsi="仿宋" w:eastAsia="仿宋_GB2312" w:cs="楷体"/>
          <w:sz w:val="32"/>
          <w:szCs w:val="32"/>
        </w:rPr>
        <w:t>推进政府机构、职能、责任法定化，依照法定权限和法定程序行使权力、履行职责，认真履行政府承诺，提高依法行政水平。健全依法决策机制，认真落实重大行政决策公众参与、专家论证、风险评估、合法性审查、集体讨论决定等法定程序，推行政府法律顾问制度，提高决策质量和水平。深化综合行政执法改革，坚持严格规范公正文明执法，全面落实行政执法责任制，深化行政执法“三项制度”全覆盖，加强对食品药品安全、安全生产、国土资源、规划建设、环境保护、资源节约、社会治安、劳动保障等重点领域执法监管。促进民族团结进步事业发展，依法加强对宗教事务管理。加强反腐倡廉建设，坚持反腐无禁区、全覆盖、零容忍，完善政府及部门内部层级监督，强化审计、监察等专项监督。自觉接受民主监督、司法监督和社会舆论监督。全面推进政务公开，不断拓展政府信息公开范围。加强国际贸易投资法规、国际贸易投资规则、商事往来国际惯例等方面知识的学习、培训和普及，提高涉外经济管理水平和对外交往能力。深化营商环境制度集成创新，对标世界银行营商环境评价体系，实施优化营商环境行动计划，着力打造一流的国际化、法治化、便利化营商环境。</w:t>
      </w:r>
    </w:p>
    <w:p>
      <w:pPr>
        <w:ind w:firstLine="642" w:firstLineChars="200"/>
        <w:rPr>
          <w:rFonts w:ascii="仿宋_GB2312" w:hAnsi="仿宋" w:eastAsia="仿宋_GB2312" w:cs="楷体"/>
          <w:sz w:val="32"/>
          <w:szCs w:val="32"/>
        </w:rPr>
      </w:pPr>
      <w:r>
        <w:rPr>
          <w:rFonts w:hint="eastAsia" w:ascii="仿宋_GB2312" w:hAnsi="楷体" w:eastAsia="仿宋_GB2312" w:cs="仿宋"/>
          <w:b/>
          <w:sz w:val="32"/>
          <w:szCs w:val="32"/>
        </w:rPr>
        <w:t>加快建设法治社会。</w:t>
      </w:r>
      <w:r>
        <w:rPr>
          <w:rFonts w:hint="eastAsia" w:ascii="仿宋_GB2312" w:hAnsi="仿宋" w:eastAsia="仿宋_GB2312" w:cs="楷体"/>
          <w:sz w:val="32"/>
          <w:szCs w:val="32"/>
        </w:rPr>
        <w:t>完善法律服务供给机制，构建覆盖城乡、惠及全体居民的公共法律服务体系。完善法律援助制度，健全司法救助体系，将更多的困难群众纳入法律援助和司法救助覆盖范围。加强律师事务所、公证行业内部管理，推进基层法律服务业规范发展。加强涉外法律服务，优化外商投资环境。落实“谁执法、谁普法”责任制，加强法治宣传教育和推广普及。推动广大党员干部和公务员队伍发挥尊法学法守法用法模范带头作用，提升全体居民法治意识和法律素养，形成良好的法治氛围。</w:t>
      </w:r>
    </w:p>
    <w:p>
      <w:pPr>
        <w:pStyle w:val="3"/>
        <w:spacing w:line="240" w:lineRule="auto"/>
        <w:jc w:val="center"/>
        <w:rPr>
          <w:rFonts w:ascii="楷体_GB2312" w:eastAsia="楷体_GB2312" w:cs="楷体" w:hAnsiTheme="majorEastAsia"/>
          <w:szCs w:val="32"/>
        </w:rPr>
      </w:pPr>
      <w:bookmarkStart w:id="76" w:name="_Toc64143044"/>
      <w:r>
        <w:rPr>
          <w:rFonts w:hint="eastAsia" w:ascii="楷体_GB2312" w:eastAsia="楷体_GB2312" w:cs="楷体" w:hAnsiTheme="majorEastAsia"/>
          <w:szCs w:val="32"/>
        </w:rPr>
        <w:t>第二节 持续推进平安临高建设</w:t>
      </w:r>
      <w:bookmarkEnd w:id="76"/>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树立整体安全观，推动形成“大安全”格局，建设更高水平的平安临高。</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坚决维护国家安全。</w:t>
      </w:r>
      <w:r>
        <w:rPr>
          <w:rFonts w:hint="eastAsia" w:ascii="仿宋_GB2312" w:hAnsi="仿宋" w:eastAsia="仿宋_GB2312" w:cs="仿宋"/>
          <w:sz w:val="32"/>
          <w:szCs w:val="32"/>
        </w:rPr>
        <w:t>把维护国家政治安全特别是政权安全、制度安全放在第一位，加强国家安全宣传教育和意识形态阵地建设，增强全民国家安全意识，巩固国家安全人民防线，坚定维护国家政治安全，构建反恐维稳长效机制，严密防范和严厉打击敌对势力渗透、破坏、颠覆、分裂活动。</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推进社会管理信息化平台建设。</w:t>
      </w:r>
      <w:r>
        <w:rPr>
          <w:rFonts w:hint="eastAsia" w:ascii="仿宋_GB2312" w:hAnsi="仿宋" w:eastAsia="仿宋_GB2312" w:cs="仿宋"/>
          <w:sz w:val="32"/>
          <w:szCs w:val="32"/>
        </w:rPr>
        <w:t>用最领先的理念、最先进的技术、最前沿的标准、最经济的成本建设统一的社会管理大数据平台，逐步纳入综治中心、网格化服务管理、多元化矛盾纠纷化解建设内容，实现信息互融互通和高效应用，全面提升临高社会管理和平安建设数字化、智能化、网络化水平。</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建设良好的治安环境。</w:t>
      </w:r>
      <w:r>
        <w:rPr>
          <w:rFonts w:hint="eastAsia" w:ascii="仿宋_GB2312" w:hAnsi="仿宋" w:eastAsia="仿宋_GB2312" w:cs="仿宋"/>
          <w:sz w:val="32"/>
          <w:szCs w:val="32"/>
        </w:rPr>
        <w:t>坚持专群结合、群防群治的方针，建立健全问题联治、工作联动、平安联创工作机制，加快推进立体化、信息化、一体化治安防控体系建设，提高社会治安法治化、专业化、智能化水平，增强社会治安防控的整体性、协同性、精准性。坚守不搞“黄赌毒”的底线，深入开展禁毒大会战，严厉打击涉枪涉爆涉黑涉恶涉毒涉赌涉黄、电信网络诈骗、跨境赌博、恐怖融资、盗抢骗拐等违法犯罪活动，创建良好治安环境。</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推进公共安全体系建设。</w:t>
      </w:r>
      <w:r>
        <w:rPr>
          <w:rFonts w:hint="eastAsia" w:ascii="仿宋_GB2312" w:hAnsi="仿宋" w:eastAsia="仿宋_GB2312" w:cs="楷体"/>
          <w:sz w:val="32"/>
          <w:szCs w:val="32"/>
        </w:rPr>
        <w:t>建立公共安全隐患排查和预防控制体系，健全统一指挥、专常兼备、反应灵敏、上下联动的应急管理体制，切实保障人民身体健康和生命财产安全。加强未成年人保护和预防犯罪工作，推进安全校园建设。落实安全生产责任制，加强安全生产监管执法，有效遏制建筑施工、交通等重特大安全事故。强化生物安全保护，加强食品药品源头治理和全过程监管，提高关系人民健康产品和服务的安全保障水平。完善互联网应用和管理机制，加大依法管理网络力度，确保网络信息安全。加快档案安全基础设施和数字档案馆建设，确保重要档案信息安全。</w:t>
      </w:r>
    </w:p>
    <w:p>
      <w:pPr>
        <w:ind w:firstLine="642" w:firstLineChars="200"/>
        <w:rPr>
          <w:rFonts w:ascii="仿宋" w:hAnsi="仿宋" w:eastAsia="仿宋" w:cs="楷体"/>
          <w:sz w:val="32"/>
          <w:szCs w:val="32"/>
        </w:rPr>
      </w:pPr>
      <w:r>
        <w:rPr>
          <w:rFonts w:hint="eastAsia" w:ascii="仿宋_GB2312" w:hAnsi="楷体" w:eastAsia="仿宋_GB2312" w:cs="楷体"/>
          <w:b/>
          <w:sz w:val="32"/>
          <w:szCs w:val="32"/>
        </w:rPr>
        <w:t>加强防灾救灾能力建设。</w:t>
      </w:r>
      <w:r>
        <w:rPr>
          <w:rFonts w:hint="eastAsia" w:ascii="仿宋_GB2312" w:hAnsi="楷体" w:eastAsia="仿宋_GB2312" w:cs="楷体"/>
          <w:sz w:val="32"/>
          <w:szCs w:val="32"/>
        </w:rPr>
        <w:t>构建完善综合气象观测、智能气象预报和智慧气象服务体系，</w:t>
      </w:r>
      <w:r>
        <w:rPr>
          <w:rFonts w:hint="eastAsia" w:ascii="仿宋_GB2312" w:hAnsi="仿宋" w:eastAsia="仿宋_GB2312" w:cs="楷体"/>
          <w:sz w:val="32"/>
          <w:szCs w:val="32"/>
        </w:rPr>
        <w:t>加强气象服务能力建设，做好防风防震、防洪排涝、公共消防、森林防火等工作，提高防灾、减灾、抗灾、救灾能力。完善应急管理体系，加强应急救援队伍和应急避难场所建设，加强应急物资保障体系建设，有效应对重大自然灾害、事故灾难、公共卫生突发事件等公共安全风险挑战。</w:t>
      </w:r>
    </w:p>
    <w:tbl>
      <w:tblPr>
        <w:tblStyle w:val="12"/>
        <w:tblW w:w="8794" w:type="dxa"/>
        <w:tblInd w:w="-15" w:type="dxa"/>
        <w:tblLayout w:type="autofit"/>
        <w:tblCellMar>
          <w:top w:w="0" w:type="dxa"/>
          <w:left w:w="108" w:type="dxa"/>
          <w:bottom w:w="0" w:type="dxa"/>
          <w:right w:w="108" w:type="dxa"/>
        </w:tblCellMar>
      </w:tblPr>
      <w:tblGrid>
        <w:gridCol w:w="8794"/>
      </w:tblGrid>
      <w:tr>
        <w:tblPrEx>
          <w:tblCellMar>
            <w:top w:w="0" w:type="dxa"/>
            <w:left w:w="108" w:type="dxa"/>
            <w:bottom w:w="0" w:type="dxa"/>
            <w:right w:w="108" w:type="dxa"/>
          </w:tblCellMar>
        </w:tblPrEx>
        <w:trPr>
          <w:trHeight w:val="600" w:hRule="atLeast"/>
        </w:trPr>
        <w:tc>
          <w:tcPr>
            <w:tcW w:w="8794" w:type="dxa"/>
            <w:tcBorders>
              <w:top w:val="single" w:color="auto" w:sz="4" w:space="0"/>
              <w:left w:val="single" w:color="auto" w:sz="4" w:space="0"/>
              <w:bottom w:val="double" w:color="auto" w:sz="6" w:space="0"/>
              <w:right w:val="single" w:color="auto" w:sz="4" w:space="0"/>
            </w:tcBorders>
            <w:shd w:val="clear" w:color="000000" w:fill="00B0F0"/>
            <w:noWrap/>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 xml:space="preserve">专栏22  平安临高建设重点项目  </w:t>
            </w:r>
          </w:p>
        </w:tc>
      </w:tr>
      <w:tr>
        <w:tblPrEx>
          <w:tblCellMar>
            <w:top w:w="0" w:type="dxa"/>
            <w:left w:w="108" w:type="dxa"/>
            <w:bottom w:w="0" w:type="dxa"/>
            <w:right w:w="108" w:type="dxa"/>
          </w:tblCellMar>
        </w:tblPrEx>
        <w:trPr>
          <w:trHeight w:val="300" w:hRule="atLeast"/>
        </w:trPr>
        <w:tc>
          <w:tcPr>
            <w:tcW w:w="8794" w:type="dxa"/>
            <w:tcBorders>
              <w:top w:val="nil"/>
              <w:left w:val="single" w:color="auto" w:sz="4" w:space="0"/>
              <w:bottom w:val="nil"/>
              <w:right w:val="single" w:color="auto" w:sz="4" w:space="0"/>
            </w:tcBorders>
            <w:shd w:val="clear" w:color="000000" w:fill="DDEBF7"/>
            <w:noWrap/>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（一）公安</w:t>
            </w:r>
          </w:p>
        </w:tc>
      </w:tr>
      <w:tr>
        <w:tblPrEx>
          <w:tblCellMar>
            <w:top w:w="0" w:type="dxa"/>
            <w:left w:w="108" w:type="dxa"/>
            <w:bottom w:w="0" w:type="dxa"/>
            <w:right w:w="108" w:type="dxa"/>
          </w:tblCellMar>
        </w:tblPrEx>
        <w:trPr>
          <w:trHeight w:val="364" w:hRule="atLeast"/>
        </w:trPr>
        <w:tc>
          <w:tcPr>
            <w:tcW w:w="8794" w:type="dxa"/>
            <w:tcBorders>
              <w:top w:val="nil"/>
              <w:left w:val="single" w:color="auto" w:sz="4" w:space="0"/>
              <w:bottom w:val="nil"/>
              <w:right w:val="single" w:color="auto" w:sz="4" w:space="0"/>
            </w:tcBorders>
            <w:shd w:val="clear" w:color="000000" w:fill="DDEBF7"/>
            <w:vAlign w:val="bottom"/>
          </w:tcPr>
          <w:p>
            <w:pPr>
              <w:widowControl/>
              <w:ind w:firstLine="480" w:firstLineChars="200"/>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实施公安局业务技术用房基础配套设施建设、县公安局业务技术用房装修等项目，新建一所看守所和戒毒所。</w:t>
            </w:r>
          </w:p>
        </w:tc>
      </w:tr>
      <w:tr>
        <w:tblPrEx>
          <w:tblCellMar>
            <w:top w:w="0" w:type="dxa"/>
            <w:left w:w="108" w:type="dxa"/>
            <w:bottom w:w="0" w:type="dxa"/>
            <w:right w:w="108" w:type="dxa"/>
          </w:tblCellMar>
        </w:tblPrEx>
        <w:trPr>
          <w:trHeight w:val="312" w:hRule="atLeast"/>
        </w:trPr>
        <w:tc>
          <w:tcPr>
            <w:tcW w:w="8794" w:type="dxa"/>
            <w:tcBorders>
              <w:top w:val="nil"/>
              <w:left w:val="single" w:color="auto" w:sz="4" w:space="0"/>
              <w:bottom w:val="nil"/>
              <w:right w:val="single" w:color="auto" w:sz="4" w:space="0"/>
            </w:tcBorders>
            <w:shd w:val="clear" w:color="000000" w:fill="DDEBF7"/>
            <w:vAlign w:val="bottom"/>
          </w:tcPr>
          <w:p>
            <w:pPr>
              <w:widowControl/>
              <w:ind w:firstLine="468"/>
              <w:jc w:val="left"/>
              <w:rPr>
                <w:rFonts w:ascii="楷体_GB2312" w:hAnsi="楷体" w:eastAsia="楷体_GB2312" w:cs="宋体"/>
                <w:color w:val="000000"/>
                <w:kern w:val="0"/>
                <w:sz w:val="24"/>
                <w:szCs w:val="24"/>
              </w:rPr>
            </w:pPr>
            <w:r>
              <w:rPr>
                <w:rFonts w:hint="eastAsia" w:ascii="楷体_GB2312" w:hAnsi="楷体" w:eastAsia="楷体_GB2312" w:cs="宋体"/>
                <w:color w:val="000000"/>
                <w:kern w:val="0"/>
                <w:sz w:val="24"/>
                <w:szCs w:val="24"/>
              </w:rPr>
              <w:t>（二）治理</w:t>
            </w:r>
          </w:p>
          <w:p>
            <w:pPr>
              <w:widowControl/>
              <w:ind w:firstLine="468"/>
              <w:jc w:val="left"/>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建设社会管理信息化平台、雪亮工程平台等项目</w:t>
            </w:r>
          </w:p>
        </w:tc>
      </w:tr>
      <w:tr>
        <w:tblPrEx>
          <w:tblCellMar>
            <w:top w:w="0" w:type="dxa"/>
            <w:left w:w="108" w:type="dxa"/>
            <w:bottom w:w="0" w:type="dxa"/>
            <w:right w:w="108" w:type="dxa"/>
          </w:tblCellMar>
        </w:tblPrEx>
        <w:trPr>
          <w:trHeight w:val="312" w:hRule="atLeast"/>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（三）消防</w:t>
            </w:r>
          </w:p>
        </w:tc>
      </w:tr>
      <w:tr>
        <w:tblPrEx>
          <w:tblCellMar>
            <w:top w:w="0" w:type="dxa"/>
            <w:left w:w="108" w:type="dxa"/>
            <w:bottom w:w="0" w:type="dxa"/>
            <w:right w:w="108" w:type="dxa"/>
          </w:tblCellMar>
        </w:tblPrEx>
        <w:trPr>
          <w:trHeight w:val="312" w:hRule="atLeast"/>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建设加来消防站、金牌港消防站等项目</w:t>
            </w:r>
          </w:p>
        </w:tc>
      </w:tr>
      <w:tr>
        <w:tblPrEx>
          <w:tblCellMar>
            <w:top w:w="0" w:type="dxa"/>
            <w:left w:w="108" w:type="dxa"/>
            <w:bottom w:w="0" w:type="dxa"/>
            <w:right w:w="108" w:type="dxa"/>
          </w:tblCellMar>
        </w:tblPrEx>
        <w:trPr>
          <w:trHeight w:val="312" w:hRule="atLeast"/>
        </w:trPr>
        <w:tc>
          <w:tcPr>
            <w:tcW w:w="8794" w:type="dxa"/>
            <w:tcBorders>
              <w:top w:val="nil"/>
              <w:left w:val="single" w:color="auto" w:sz="4" w:space="0"/>
              <w:bottom w:val="nil"/>
              <w:right w:val="single" w:color="auto" w:sz="4" w:space="0"/>
            </w:tcBorders>
            <w:shd w:val="clear" w:color="000000" w:fill="DDEBF7"/>
            <w:vAlign w:val="bottom"/>
          </w:tcPr>
          <w:p>
            <w:pPr>
              <w:widowControl/>
              <w:jc w:val="left"/>
              <w:rPr>
                <w:rFonts w:ascii="楷体_GB2312" w:hAnsi="楷体" w:eastAsia="楷体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楷体_GB2312" w:hAnsi="楷体" w:eastAsia="楷体_GB2312" w:cs="宋体"/>
                <w:color w:val="000000"/>
                <w:kern w:val="0"/>
                <w:sz w:val="24"/>
                <w:szCs w:val="24"/>
              </w:rPr>
              <w:t xml:space="preserve">  （四）司法</w:t>
            </w:r>
          </w:p>
        </w:tc>
      </w:tr>
      <w:tr>
        <w:tblPrEx>
          <w:tblCellMar>
            <w:top w:w="0" w:type="dxa"/>
            <w:left w:w="108" w:type="dxa"/>
            <w:bottom w:w="0" w:type="dxa"/>
            <w:right w:w="108" w:type="dxa"/>
          </w:tblCellMar>
        </w:tblPrEx>
        <w:trPr>
          <w:trHeight w:val="324" w:hRule="atLeast"/>
        </w:trPr>
        <w:tc>
          <w:tcPr>
            <w:tcW w:w="8794" w:type="dxa"/>
            <w:tcBorders>
              <w:top w:val="nil"/>
              <w:left w:val="single" w:color="auto" w:sz="4" w:space="0"/>
              <w:bottom w:val="double" w:color="auto" w:sz="6" w:space="0"/>
              <w:right w:val="single" w:color="auto" w:sz="4" w:space="0"/>
            </w:tcBorders>
            <w:shd w:val="clear" w:color="000000" w:fill="DDEBF7"/>
            <w:vAlign w:val="bottom"/>
          </w:tcPr>
          <w:p>
            <w:pPr>
              <w:widowControl/>
              <w:jc w:val="left"/>
              <w:rPr>
                <w:rFonts w:ascii="仿宋_GB2312" w:hAnsi="楷体" w:eastAsia="仿宋_GB2312" w:cs="宋体"/>
                <w:color w:val="000000"/>
                <w:kern w:val="0"/>
                <w:sz w:val="24"/>
                <w:szCs w:val="24"/>
              </w:rPr>
            </w:pPr>
            <w:r>
              <w:rPr>
                <w:rFonts w:hint="eastAsia" w:ascii="楷体" w:hAnsi="楷体" w:eastAsia="楷体" w:cs="宋体"/>
                <w:color w:val="000000"/>
                <w:kern w:val="0"/>
                <w:sz w:val="24"/>
                <w:szCs w:val="24"/>
              </w:rPr>
              <w:t xml:space="preserve">    </w:t>
            </w:r>
            <w:r>
              <w:rPr>
                <w:rFonts w:hint="eastAsia" w:ascii="仿宋_GB2312" w:hAnsi="楷体" w:eastAsia="仿宋_GB2312" w:cs="宋体"/>
                <w:color w:val="000000"/>
                <w:kern w:val="0"/>
                <w:sz w:val="24"/>
                <w:szCs w:val="24"/>
              </w:rPr>
              <w:t>续建临高县人民法院审判法庭扩建工程，改扩建新盈和多文法庭。</w:t>
            </w:r>
          </w:p>
        </w:tc>
      </w:tr>
      <w:tr>
        <w:tblPrEx>
          <w:tblCellMar>
            <w:top w:w="0" w:type="dxa"/>
            <w:left w:w="108" w:type="dxa"/>
            <w:bottom w:w="0" w:type="dxa"/>
            <w:right w:w="108" w:type="dxa"/>
          </w:tblCellMar>
        </w:tblPrEx>
        <w:trPr>
          <w:trHeight w:val="300" w:hRule="atLeast"/>
        </w:trPr>
        <w:tc>
          <w:tcPr>
            <w:tcW w:w="8794" w:type="dxa"/>
            <w:tcBorders>
              <w:top w:val="nil"/>
              <w:left w:val="nil"/>
              <w:bottom w:val="nil"/>
              <w:right w:val="nil"/>
            </w:tcBorders>
            <w:shd w:val="clear" w:color="auto" w:fill="auto"/>
            <w:noWrap/>
            <w:vAlign w:val="center"/>
          </w:tcPr>
          <w:p>
            <w:pPr>
              <w:widowControl/>
              <w:jc w:val="left"/>
              <w:rPr>
                <w:rFonts w:ascii="楷体" w:hAnsi="楷体" w:eastAsia="楷体" w:cs="宋体"/>
                <w:color w:val="000000"/>
                <w:kern w:val="0"/>
                <w:sz w:val="24"/>
                <w:szCs w:val="24"/>
              </w:rPr>
            </w:pPr>
          </w:p>
        </w:tc>
      </w:tr>
    </w:tbl>
    <w:p>
      <w:pPr>
        <w:pStyle w:val="3"/>
        <w:spacing w:line="240" w:lineRule="auto"/>
        <w:jc w:val="center"/>
        <w:rPr>
          <w:rFonts w:ascii="楷体_GB2312" w:eastAsia="楷体_GB2312" w:cs="楷体" w:hAnsiTheme="majorEastAsia"/>
          <w:szCs w:val="32"/>
        </w:rPr>
      </w:pPr>
      <w:bookmarkStart w:id="77" w:name="_Toc64143045"/>
      <w:r>
        <w:rPr>
          <w:rFonts w:hint="eastAsia" w:ascii="楷体_GB2312" w:eastAsia="楷体_GB2312" w:cs="楷体" w:hAnsiTheme="majorEastAsia"/>
          <w:szCs w:val="32"/>
        </w:rPr>
        <w:t>第三节 不断完善社会治理</w:t>
      </w:r>
      <w:bookmarkEnd w:id="73"/>
      <w:r>
        <w:rPr>
          <w:rFonts w:hint="eastAsia" w:ascii="楷体_GB2312" w:eastAsia="楷体_GB2312" w:cs="楷体" w:hAnsiTheme="majorEastAsia"/>
          <w:szCs w:val="32"/>
        </w:rPr>
        <w:t>体系</w:t>
      </w:r>
      <w:bookmarkEnd w:id="77"/>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建设人人有责、人人尽责、人人享有的社会治理共同体，完善党委领导、政府负责、民主协商、社会协同、公众参与、法治保障、科技支撑的社会治理体系。</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推进社会治理创新。</w:t>
      </w:r>
      <w:r>
        <w:rPr>
          <w:rFonts w:hint="eastAsia" w:ascii="仿宋_GB2312" w:hAnsi="仿宋" w:eastAsia="仿宋_GB2312" w:cs="仿宋"/>
          <w:sz w:val="32"/>
          <w:szCs w:val="32"/>
        </w:rPr>
        <w:t>大力推进综合治理中心、社会管理信息化平台、网格化服务管理、矛盾纠纷多元化解“四位一体”新机制，推动形成共建共治共享社会治理新格局。深化人口移动管理制度改革，进一步放宽人口流动政策，落实好以公民身份号码为唯一标识、全岛统一的居住证制度。推进各类行业协会商会与行政机关全面脱钩，实行非政治类社会组织依法直接登记，支持社会组织在规范市场秩序、开展行业监管、加强行业自律、调解贸易纠纷等方面发挥更大作用。推进社会治理数字化、智能化、精准化发展，促进大数据、云计算、区块链、人工智能、物联网等新一代数字技术在行政管理、社会治安、司法管理、城市管理、公共卫生管理、人口管理、环境保护等重点领域的应用，提升数字治理水平。</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建立多元化社会纠纷化解机制。</w:t>
      </w:r>
      <w:r>
        <w:rPr>
          <w:rFonts w:hint="eastAsia" w:ascii="仿宋_GB2312" w:hAnsi="仿宋" w:eastAsia="仿宋_GB2312" w:cs="仿宋"/>
          <w:sz w:val="32"/>
          <w:szCs w:val="32"/>
        </w:rPr>
        <w:t>发展新时代“枫桥经验”，畅通群众诉求表达、利益协调、权益保障通道，加强信访工作、人民调解、行政调解、司法调解、心理服务、危机干预有机衔接和协调联动，推行和解、调解、行政裁决、行政复议、仲裁、诉讼等多元化方式，高效便捷地解决当事人之间的纠纷，努力将社会矛盾化解在基层。加快建立综合性和专业性一站式纠纷解决服务平台，重点调处征地拆迁、土地承包、劳动争议、环境保护、道路交通、医疗卫生、旅游服务、物业管理、消费者权益保护等领域比较集中的矛盾纠纷。完善信访制度，畅通和规范群众诉求表达通道，健全领导干部接访下访机制和首办负责制，用好《临高县解决信访突出问题工作制度》，提升信访化解实效。</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完善基层治理体系。</w:t>
      </w:r>
      <w:r>
        <w:rPr>
          <w:rFonts w:hint="eastAsia" w:ascii="仿宋_GB2312" w:hAnsi="仿宋" w:eastAsia="仿宋_GB2312" w:cs="仿宋"/>
          <w:sz w:val="32"/>
          <w:szCs w:val="32"/>
        </w:rPr>
        <w:t>推动社会治理重心下移、资源下沉，畅通群众参与基层社会治理的渠道，完善党组织领导的自治、法治、德治相结合的城乡基层治理体系。推进大社区综合服务模式，健全社区综合管理服务平台，提高网格化管理水平，为居民提供更加精准、细致的社会化服务。推动居民小区成立业主委员会，构建社区、社会组织、社会工作、社区志愿服务“四社联动”治理机制，充分发挥行业社会组织自律功能和群团组织、家庭家教家风的重要作用，实现政府治理和社会调节、居民自治良性互动。完善“一核两委一会”乡村治理机制，强化村务协商民主功能，推进法治乡村建设，提高乡村德治水平，提高农民法治素养，传承优秀传统民风，引导农民向上向善、孝老爱亲、夫妻和睦、重义守信、勤俭持家。</w:t>
      </w:r>
    </w:p>
    <w:p>
      <w:pPr>
        <w:ind w:firstLine="642" w:firstLineChars="200"/>
        <w:rPr>
          <w:rFonts w:ascii="仿宋_GB2312" w:hAnsi="仿宋" w:eastAsia="仿宋_GB2312" w:cs="仿宋"/>
          <w:sz w:val="32"/>
          <w:szCs w:val="32"/>
        </w:rPr>
      </w:pPr>
      <w:r>
        <w:rPr>
          <w:rFonts w:hint="eastAsia" w:ascii="仿宋_GB2312" w:hAnsi="楷体" w:eastAsia="仿宋_GB2312" w:cs="仿宋"/>
          <w:b/>
          <w:sz w:val="32"/>
          <w:szCs w:val="32"/>
        </w:rPr>
        <w:t>加强社会信用体系建设。</w:t>
      </w:r>
      <w:r>
        <w:rPr>
          <w:rFonts w:hint="eastAsia" w:ascii="仿宋_GB2312" w:hAnsi="仿宋" w:eastAsia="仿宋_GB2312" w:cs="仿宋"/>
          <w:sz w:val="32"/>
          <w:szCs w:val="32"/>
        </w:rPr>
        <w:t>加强诚信宣传教育和诚信文化建设，建立健全信用监管、守信激励、失信惩戒和信用信息主体权益保护机制，大力推进政务、商务、社会和司法等领域信用体系建设，加快建立覆盖企业法人、非企业法人和自然人信用信息的基础数据库，实现与省级自由贸易港信用平台相互对接，健全信用信息互联互通共享机制。将信用管理与承诺准入制、事中事后监管等放管服改革紧密结合，加大跨部门、跨领域的守信联合激励和失信联合惩戒力度，充分发挥信用建设在改善和优化营商环境中的正向激励作用和负向纠偏作用，以市场主体信用建设为重点带动全社会形成诚实守信的文明风范。</w:t>
      </w:r>
    </w:p>
    <w:p>
      <w:pPr>
        <w:pStyle w:val="3"/>
        <w:spacing w:line="240" w:lineRule="auto"/>
        <w:jc w:val="center"/>
        <w:rPr>
          <w:rFonts w:ascii="楷体_GB2312" w:eastAsia="楷体_GB2312" w:cs="楷体" w:hAnsiTheme="majorEastAsia"/>
          <w:szCs w:val="32"/>
        </w:rPr>
      </w:pPr>
      <w:bookmarkStart w:id="78" w:name="_Toc45976684"/>
      <w:bookmarkStart w:id="79" w:name="_Toc64143046"/>
      <w:r>
        <w:rPr>
          <w:rFonts w:hint="eastAsia" w:ascii="楷体_GB2312" w:eastAsia="楷体_GB2312" w:cs="楷体" w:hAnsiTheme="majorEastAsia"/>
          <w:szCs w:val="32"/>
        </w:rPr>
        <w:t xml:space="preserve">第四节 </w:t>
      </w:r>
      <w:bookmarkEnd w:id="78"/>
      <w:r>
        <w:rPr>
          <w:rFonts w:hint="eastAsia" w:ascii="楷体_GB2312" w:eastAsia="楷体_GB2312" w:cs="楷体" w:hAnsiTheme="majorEastAsia"/>
          <w:szCs w:val="32"/>
        </w:rPr>
        <w:t>防范化解重大风险</w:t>
      </w:r>
      <w:bookmarkEnd w:id="79"/>
    </w:p>
    <w:p>
      <w:pPr>
        <w:ind w:firstLine="640" w:firstLineChars="200"/>
        <w:rPr>
          <w:rFonts w:ascii="仿宋_GB2312" w:hAnsi="仿宋" w:eastAsia="仿宋_GB2312" w:cs="楷体"/>
          <w:sz w:val="32"/>
          <w:szCs w:val="32"/>
        </w:rPr>
      </w:pPr>
      <w:r>
        <w:rPr>
          <w:rFonts w:hint="eastAsia" w:ascii="仿宋_GB2312" w:hAnsi="仿宋" w:eastAsia="仿宋_GB2312" w:cs="楷体"/>
          <w:sz w:val="32"/>
          <w:szCs w:val="32"/>
        </w:rPr>
        <w:t>坚持底线思维，完善重大决策社会风险评估机制，构建源头防控、排查梳理、纠纷化解、应急处置的社会矛盾综合治理机制，确保不发生系统性风险。</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防范和化解贸易风险。</w:t>
      </w:r>
      <w:r>
        <w:rPr>
          <w:rFonts w:hint="eastAsia" w:ascii="仿宋_GB2312" w:hAnsi="仿宋" w:eastAsia="仿宋_GB2312" w:cs="楷体"/>
          <w:sz w:val="32"/>
          <w:szCs w:val="32"/>
        </w:rPr>
        <w:t>建立健全反走私综合治理机制，在全省统一领导下，加强与兄弟市县和海关互动合作、联防联控，推动实施大数据智能精准监管，对非设关地、未设立口岸特定区域载运工具、上下货物、物品实施全天实时监控，依法严厉打击走私犯罪行为，防范和化解货物贸易领域走私风险。</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防范和化解投资领域安全风险。</w:t>
      </w:r>
      <w:r>
        <w:rPr>
          <w:rFonts w:hint="eastAsia" w:ascii="仿宋_GB2312" w:hAnsi="仿宋" w:eastAsia="仿宋_GB2312" w:cs="楷体"/>
          <w:sz w:val="32"/>
          <w:szCs w:val="32"/>
        </w:rPr>
        <w:t>加强投资经营活动全过程监管，落实备案受理机构的审查责任和备案主体的承诺报备责任，严把外商投资国家安全审查关，对备案主体不实承诺、虚假信息、违法经营等行为实施严厉惩戒，防范和化解投资领域国家经济安全风险。</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防范和化解金融领域资金跨境流动风险。</w:t>
      </w:r>
      <w:r>
        <w:rPr>
          <w:rFonts w:hint="eastAsia" w:ascii="仿宋_GB2312" w:hAnsi="仿宋" w:eastAsia="仿宋_GB2312" w:cs="楷体"/>
          <w:sz w:val="32"/>
          <w:szCs w:val="32"/>
        </w:rPr>
        <w:t>加强跨境资金流动监测、预警和监管，建立健全税收综合监管和跨境资金流动风险防控体系，落实好本外币一体化跨境资本流动宏观审慎评估和协调联系机制，强化对偷漏税的风险识别，严厉打击洗钱、恐怖融资、逃税等违法犯罪行为，防范和化解系统性金融风险。</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防范和化解网络数据安全风险</w:t>
      </w:r>
      <w:r>
        <w:rPr>
          <w:rFonts w:hint="eastAsia" w:ascii="仿宋_GB2312" w:hAnsi="仿宋" w:eastAsia="仿宋_GB2312" w:cs="楷体"/>
          <w:b/>
          <w:sz w:val="32"/>
          <w:szCs w:val="32"/>
        </w:rPr>
        <w:t>。</w:t>
      </w:r>
      <w:r>
        <w:rPr>
          <w:rFonts w:hint="eastAsia" w:ascii="仿宋_GB2312" w:hAnsi="仿宋" w:eastAsia="仿宋_GB2312" w:cs="楷体"/>
          <w:sz w:val="32"/>
          <w:szCs w:val="32"/>
        </w:rPr>
        <w:t>加强跨境数据流动监管，用好国际互联网数据交互试点专用网络及风险防控平台，建立健全数据出境安全管理制度体系，完善与国际衔接的个人信息和重要数据出境安全评估标准、数据出境“白名单”，防范化解网络安全和数据出入境安全风险。</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防范和化解境外人员流动安全风险。</w:t>
      </w:r>
      <w:r>
        <w:rPr>
          <w:rFonts w:hint="eastAsia" w:ascii="仿宋_GB2312" w:hAnsi="仿宋" w:eastAsia="仿宋_GB2312" w:cs="楷体"/>
          <w:sz w:val="32"/>
          <w:szCs w:val="32"/>
        </w:rPr>
        <w:t>加强境外人员流动动态监管，建立健全境外人员出入境、住临高的境外人员动态管理和免签外国人离岛管控体系，实现无缝联动警情处置，防范和化解境外人员流动风险，确保国家和地方治安安全。</w:t>
      </w:r>
    </w:p>
    <w:p>
      <w:pPr>
        <w:ind w:firstLine="642" w:firstLineChars="200"/>
        <w:rPr>
          <w:rFonts w:ascii="仿宋_GB2312" w:hAnsi="仿宋" w:eastAsia="仿宋_GB2312" w:cs="楷体"/>
          <w:sz w:val="32"/>
          <w:szCs w:val="32"/>
        </w:rPr>
      </w:pPr>
      <w:r>
        <w:rPr>
          <w:rFonts w:hint="eastAsia" w:ascii="仿宋_GB2312" w:hAnsi="楷体" w:eastAsia="仿宋_GB2312" w:cs="楷体"/>
          <w:b/>
          <w:sz w:val="32"/>
          <w:szCs w:val="32"/>
        </w:rPr>
        <w:t>防范和化解公共卫生等风险。</w:t>
      </w:r>
      <w:r>
        <w:rPr>
          <w:rFonts w:hint="eastAsia" w:ascii="仿宋_GB2312" w:hAnsi="仿宋" w:eastAsia="仿宋_GB2312" w:cs="楷体"/>
          <w:sz w:val="32"/>
          <w:szCs w:val="32"/>
        </w:rPr>
        <w:t>加强公共卫生应急能力建设，加快推进公共卫生补短板工程建设，加强公共卫生人才队伍建设和卫生应急物资储备，完善公共卫生应急指挥和部门协调联动机制，落实重大疾病尤其是传染病预防控制措施，构建公共卫生应急防控体系，防范和化解突发重大公共卫生事件的风险。</w:t>
      </w:r>
    </w:p>
    <w:p>
      <w:pPr>
        <w:ind w:firstLine="642" w:firstLineChars="200"/>
        <w:rPr>
          <w:rFonts w:ascii="仿宋" w:hAnsi="仿宋" w:eastAsia="仿宋" w:cs="楷体"/>
          <w:sz w:val="32"/>
          <w:szCs w:val="32"/>
        </w:rPr>
      </w:pPr>
      <w:r>
        <w:rPr>
          <w:rFonts w:hint="eastAsia" w:ascii="仿宋_GB2312" w:hAnsi="楷体" w:eastAsia="仿宋_GB2312" w:cs="楷体"/>
          <w:b/>
          <w:sz w:val="32"/>
          <w:szCs w:val="32"/>
        </w:rPr>
        <w:t>防范和化解生态环境风险。</w:t>
      </w:r>
      <w:r>
        <w:rPr>
          <w:rFonts w:hint="eastAsia" w:ascii="仿宋_GB2312" w:hAnsi="仿宋" w:eastAsia="仿宋_GB2312" w:cs="楷体"/>
          <w:sz w:val="32"/>
          <w:szCs w:val="32"/>
        </w:rPr>
        <w:t>严把建设项目生态环境准入关，实施严格进出境生态环境和生物物种安全管理制度，坚决防止洋垃圾和有害生物物种输入，防范和化解生态环境风险。</w:t>
      </w:r>
    </w:p>
    <w:p>
      <w:pPr>
        <w:pStyle w:val="2"/>
        <w:spacing w:line="240" w:lineRule="auto"/>
        <w:ind w:firstLine="627" w:firstLineChars="196"/>
        <w:rPr>
          <w:rFonts w:ascii="黑体" w:hAnsi="黑体" w:eastAsia="黑体"/>
          <w:b w:val="0"/>
          <w:sz w:val="32"/>
          <w:szCs w:val="32"/>
        </w:rPr>
      </w:pPr>
      <w:bookmarkStart w:id="80" w:name="_Toc22329"/>
      <w:bookmarkStart w:id="81" w:name="_Toc64143047"/>
      <w:r>
        <w:rPr>
          <w:rFonts w:hint="eastAsia" w:ascii="黑体" w:hAnsi="黑体" w:eastAsia="黑体"/>
          <w:b w:val="0"/>
          <w:sz w:val="32"/>
          <w:szCs w:val="32"/>
        </w:rPr>
        <w:t>第十二章 加强规划实施保障，努力实现</w:t>
      </w:r>
      <w:bookmarkEnd w:id="80"/>
      <w:r>
        <w:rPr>
          <w:rFonts w:hint="eastAsia" w:ascii="黑体" w:hAnsi="黑体" w:eastAsia="黑体"/>
          <w:b w:val="0"/>
          <w:sz w:val="32"/>
          <w:szCs w:val="32"/>
        </w:rPr>
        <w:t>宏伟蓝图</w:t>
      </w:r>
      <w:bookmarkEnd w:id="81"/>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实现“十四五”规划目标任务，必须毫不动摇坚持党的全面领导，充分调动一切积极因素，广泛团结一切可以团结的力量，不折不扣把党中央的决策、省委省政府的部署和“十四五”规划要求落到实处。</w:t>
      </w:r>
    </w:p>
    <w:p>
      <w:pPr>
        <w:pStyle w:val="3"/>
        <w:spacing w:line="240" w:lineRule="auto"/>
        <w:jc w:val="center"/>
        <w:rPr>
          <w:rFonts w:ascii="楷体_GB2312" w:eastAsia="楷体_GB2312" w:cs="楷体_GB2312" w:hAnsiTheme="majorEastAsia"/>
        </w:rPr>
      </w:pPr>
      <w:bookmarkStart w:id="82" w:name="_Toc15570"/>
      <w:bookmarkStart w:id="83" w:name="_Toc64143048"/>
      <w:r>
        <w:rPr>
          <w:rFonts w:hint="eastAsia" w:ascii="楷体_GB2312" w:eastAsia="楷体_GB2312" w:cs="楷体" w:hAnsiTheme="majorEastAsia"/>
          <w:szCs w:val="32"/>
        </w:rPr>
        <w:t>第一</w:t>
      </w:r>
      <w:r>
        <w:rPr>
          <w:rFonts w:hint="eastAsia" w:ascii="楷体_GB2312" w:eastAsia="楷体_GB2312" w:cs="楷体_GB2312" w:hAnsiTheme="majorEastAsia"/>
        </w:rPr>
        <w:t xml:space="preserve">节  </w:t>
      </w:r>
      <w:bookmarkEnd w:id="82"/>
      <w:r>
        <w:rPr>
          <w:rFonts w:hint="eastAsia" w:ascii="楷体_GB2312" w:eastAsia="楷体_GB2312" w:cs="楷体_GB2312" w:hAnsiTheme="majorEastAsia"/>
        </w:rPr>
        <w:t>全面加强党的领导</w:t>
      </w:r>
      <w:bookmarkEnd w:id="83"/>
    </w:p>
    <w:p>
      <w:pPr>
        <w:ind w:firstLine="642" w:firstLineChars="200"/>
        <w:rPr>
          <w:rFonts w:ascii="仿宋_GB2312" w:hAnsi="仿宋" w:eastAsia="仿宋_GB2312"/>
          <w:sz w:val="32"/>
          <w:szCs w:val="32"/>
        </w:rPr>
      </w:pPr>
      <w:r>
        <w:rPr>
          <w:rFonts w:hint="eastAsia" w:ascii="仿宋_GB2312" w:eastAsia="仿宋_GB2312"/>
          <w:b/>
          <w:sz w:val="32"/>
          <w:szCs w:val="32"/>
        </w:rPr>
        <w:t>坚持党的集中统一领导。</w:t>
      </w:r>
      <w:r>
        <w:rPr>
          <w:rFonts w:hint="eastAsia" w:ascii="仿宋_GB2312" w:hAnsi="仿宋" w:eastAsia="仿宋_GB2312" w:cs="仿宋_GB2312"/>
          <w:sz w:val="32"/>
          <w:szCs w:val="32"/>
        </w:rPr>
        <w:t>以党的政治建设为统领，</w:t>
      </w:r>
      <w:r>
        <w:rPr>
          <w:rFonts w:hint="eastAsia" w:ascii="仿宋_GB2312" w:hAnsi="仿宋" w:eastAsia="仿宋_GB2312"/>
          <w:sz w:val="32"/>
          <w:szCs w:val="32"/>
        </w:rPr>
        <w:t>把坚持党中央权威和集中统一领导作为党的政治建设的首要任务，坚定执行党的政治路线，严格遵守政治纪律和政治规矩，在政治立场、政治方向、政治原则、政治道路上同以习近平同志为核心的党中央保持高度一致，不断增强“四个意识”、坚定“四个自信”、做到“两个维护”。巩固“不忘初心、牢记使命”主题教育成果，认真贯彻执行民主集中制，健全党委议事决策机制。贯彻党把方向、谋大局、定政策、促改革的要求，加强完成规划目标任务的统筹，增强抓落实的主动性和自觉性。全面贯彻新时代党的组织路线，</w:t>
      </w:r>
      <w:r>
        <w:rPr>
          <w:rFonts w:hint="eastAsia" w:ascii="仿宋_GB2312" w:hAnsi="仿宋" w:eastAsia="仿宋_GB2312"/>
          <w:bCs/>
          <w:sz w:val="32"/>
          <w:szCs w:val="32"/>
        </w:rPr>
        <w:t>深化“六星党支部”创建，</w:t>
      </w:r>
      <w:r>
        <w:rPr>
          <w:rFonts w:hint="eastAsia" w:ascii="仿宋_GB2312" w:hAnsi="仿宋" w:eastAsia="仿宋_GB2312"/>
          <w:sz w:val="32"/>
          <w:szCs w:val="32"/>
        </w:rPr>
        <w:t>增强“两新”组织党建工作的针对性创造性有效性，把各领域基层党组织建设成为推进自由贸易港建设的坚强战斗堡垒。</w:t>
      </w:r>
    </w:p>
    <w:p>
      <w:pPr>
        <w:pStyle w:val="11"/>
        <w:spacing w:before="0" w:beforeAutospacing="0" w:after="0" w:afterAutospacing="0"/>
        <w:ind w:firstLine="642" w:firstLineChars="200"/>
        <w:jc w:val="both"/>
        <w:rPr>
          <w:rFonts w:ascii="仿宋_GB2312" w:hAnsi="仿宋" w:eastAsia="仿宋_GB2312"/>
          <w:sz w:val="32"/>
          <w:szCs w:val="32"/>
        </w:rPr>
      </w:pPr>
      <w:r>
        <w:rPr>
          <w:rFonts w:hint="eastAsia" w:ascii="仿宋_GB2312" w:hAnsi="楷体" w:eastAsia="仿宋_GB2312" w:cs="仿宋_GB2312"/>
          <w:b/>
          <w:sz w:val="32"/>
          <w:szCs w:val="32"/>
        </w:rPr>
        <w:t>完善党领导经济社会发展的工作机制。</w:t>
      </w:r>
      <w:r>
        <w:rPr>
          <w:rFonts w:hint="eastAsia" w:ascii="仿宋_GB2312" w:hAnsi="仿宋" w:eastAsia="仿宋_GB2312" w:cs="仿宋_GB2312"/>
          <w:sz w:val="32"/>
          <w:szCs w:val="32"/>
        </w:rPr>
        <w:t>充分发挥党委(党组)在经济社会发展工作中的领导核心作用，坚持把党的领导贯穿经济社会发展工作的各领域各方面各环节，不断提升把方向、谋大局、定政策、促改革的能力和定力。深刻把握在严峻挑战下做好经济工作的规律性认识，认真学习法律、金融、投资、贸易等专业知识，掌握国际经贸规则和产业发展趋势，敢于突破条条框框，善于解决新问题、化解新矛盾，努力成为全面深化改革、促进经济社会发展、服务构建新发展格局的行家里手。持续加强党的作风建设，着力推动“思想大解放、实干大担当、能力大提升、作风大转变”，将经济社会发展的各项目标任务以项目化的方式推动落实，做到量化、可自查、可考核，狠抓落实、扭住不放、一抓到底，坚决整治“光喊口号、不见行动、没有结果”的花架子形式主义，用好“红黄绿”亮牌管控机制，到逼责任落实。</w:t>
      </w:r>
    </w:p>
    <w:p>
      <w:pPr>
        <w:pStyle w:val="11"/>
        <w:spacing w:before="0" w:beforeAutospacing="0" w:after="0" w:afterAutospacing="0"/>
        <w:ind w:firstLine="642" w:firstLineChars="200"/>
        <w:jc w:val="both"/>
        <w:rPr>
          <w:rFonts w:ascii="仿宋_GB2312" w:eastAsia="仿宋_GB2312"/>
          <w:sz w:val="32"/>
          <w:szCs w:val="32"/>
        </w:rPr>
      </w:pPr>
      <w:r>
        <w:rPr>
          <w:rFonts w:hint="eastAsia" w:ascii="仿宋_GB2312" w:eastAsia="仿宋_GB2312"/>
          <w:b/>
          <w:sz w:val="32"/>
          <w:szCs w:val="32"/>
        </w:rPr>
        <w:t>建设高素质干部队伍。</w:t>
      </w:r>
      <w:r>
        <w:rPr>
          <w:rFonts w:hint="eastAsia" w:ascii="仿宋_GB2312" w:hAnsi="仿宋" w:eastAsia="仿宋_GB2312"/>
          <w:sz w:val="32"/>
          <w:szCs w:val="32"/>
        </w:rPr>
        <w:t>坚持党管干部原则，坚持事业为上、选贤任能，突出政治标准，在建设自贸港实践中认识好干部、培养好干部、用好好干部，</w:t>
      </w:r>
      <w:r>
        <w:rPr>
          <w:rFonts w:hint="eastAsia" w:ascii="仿宋_GB2312" w:hAnsi="仿宋" w:eastAsia="仿宋_GB2312" w:cs="Times New Roman"/>
          <w:kern w:val="2"/>
          <w:sz w:val="32"/>
          <w:szCs w:val="32"/>
        </w:rPr>
        <w:t>以正确的用人导向引领干事创业导向，</w:t>
      </w:r>
      <w:r>
        <w:rPr>
          <w:rFonts w:hint="eastAsia" w:ascii="仿宋_GB2312" w:hAnsi="仿宋" w:eastAsia="仿宋_GB2312"/>
          <w:sz w:val="32"/>
          <w:szCs w:val="32"/>
        </w:rPr>
        <w:t>选好配强各级领导班子。用好《临高县落实高质量发展“红黄绿”亮牌管控机制（试行）》，把落实高质量发展和自贸港建设任务作为干部选拔任用、考核评价的重要依据。完善体现新发展理念和正确政绩观要求的干部考核评价体系，落实《海南自由贸易港公职人员容错纠错办法（试行）》，旗帜鲜明地为敢于担当、敢于突破、敢于创新的干部撑腰鼓劲。选优配强村（社区）“两委”班子特别是村（社区）党组织书记，高标准选派驻村第一书记和乡村振兴工作队队员，建立健全村干部基本报酬正常增长机制。</w:t>
      </w:r>
      <w:r>
        <w:rPr>
          <w:rFonts w:hint="eastAsia" w:ascii="仿宋_GB2312" w:hAnsi="仿宋" w:eastAsia="仿宋_GB2312" w:cs="Times New Roman"/>
          <w:kern w:val="2"/>
          <w:sz w:val="32"/>
          <w:szCs w:val="32"/>
        </w:rPr>
        <w:t>加强干部教育培养特别是年轻干部、</w:t>
      </w:r>
      <w:r>
        <w:rPr>
          <w:rFonts w:hint="eastAsia" w:ascii="仿宋_GB2312" w:hAnsi="仿宋" w:eastAsia="仿宋_GB2312" w:cs="仿宋_GB2312"/>
          <w:kern w:val="2"/>
          <w:sz w:val="32"/>
          <w:szCs w:val="32"/>
        </w:rPr>
        <w:t>妇女干部、非党员干部</w:t>
      </w:r>
      <w:r>
        <w:rPr>
          <w:rFonts w:hint="eastAsia" w:ascii="仿宋_GB2312" w:hAnsi="仿宋" w:eastAsia="仿宋_GB2312" w:cs="Times New Roman"/>
          <w:kern w:val="2"/>
          <w:sz w:val="32"/>
          <w:szCs w:val="32"/>
        </w:rPr>
        <w:t>培养，加强高素质专业化干部队伍建设，</w:t>
      </w:r>
      <w:r>
        <w:rPr>
          <w:rFonts w:hint="eastAsia" w:ascii="仿宋_GB2312" w:hAnsi="仿宋" w:eastAsia="仿宋_GB2312"/>
          <w:sz w:val="32"/>
          <w:szCs w:val="32"/>
        </w:rPr>
        <w:t>推动干部双向挂职常态化，鼓励干部到基层一线、困难艰苦地区历练，增强“八种本领”，提升“七种能力”，锤炼党员干部的政治品格。</w:t>
      </w:r>
    </w:p>
    <w:p>
      <w:pPr>
        <w:pStyle w:val="11"/>
        <w:spacing w:before="0" w:beforeAutospacing="0" w:after="0" w:afterAutospacing="0"/>
        <w:ind w:firstLine="642" w:firstLineChars="200"/>
        <w:jc w:val="both"/>
        <w:rPr>
          <w:rFonts w:ascii="仿宋_GB2312" w:eastAsia="仿宋_GB2312"/>
          <w:sz w:val="32"/>
          <w:szCs w:val="32"/>
        </w:rPr>
      </w:pPr>
      <w:r>
        <w:rPr>
          <w:rFonts w:hint="eastAsia" w:ascii="仿宋_GB2312" w:eastAsia="仿宋_GB2312"/>
          <w:b/>
          <w:sz w:val="32"/>
          <w:szCs w:val="32"/>
        </w:rPr>
        <w:t>持之以恒正风肃纪反腐。</w:t>
      </w:r>
      <w:r>
        <w:rPr>
          <w:rFonts w:hint="eastAsia" w:ascii="仿宋_GB2312" w:hAnsi="仿宋" w:eastAsia="仿宋_GB2312"/>
          <w:sz w:val="32"/>
          <w:szCs w:val="32"/>
        </w:rPr>
        <w:t>落实全面从严治党政治责任，强化政治监督，</w:t>
      </w:r>
      <w:r>
        <w:rPr>
          <w:rFonts w:hint="eastAsia" w:ascii="仿宋_GB2312" w:hAnsi="仿宋" w:eastAsia="仿宋_GB2312" w:cs="Times New Roman"/>
          <w:kern w:val="2"/>
          <w:sz w:val="32"/>
          <w:szCs w:val="32"/>
        </w:rPr>
        <w:t>推动主体责任和监督责任同向发力，</w:t>
      </w:r>
      <w:r>
        <w:rPr>
          <w:rFonts w:hint="eastAsia" w:ascii="仿宋_GB2312" w:hAnsi="仿宋" w:eastAsia="仿宋_GB2312"/>
          <w:sz w:val="32"/>
          <w:szCs w:val="32"/>
        </w:rPr>
        <w:t>持续开展对习近平总书记“4·13”重要讲话精神贯彻落实情况的监督检查</w:t>
      </w:r>
      <w:r>
        <w:rPr>
          <w:rFonts w:hint="eastAsia" w:ascii="仿宋_GB2312" w:hAnsi="仿宋" w:eastAsia="仿宋_GB2312" w:cs="Times New Roman"/>
          <w:kern w:val="2"/>
          <w:sz w:val="32"/>
          <w:szCs w:val="32"/>
        </w:rPr>
        <w:t>。</w:t>
      </w:r>
      <w:r>
        <w:rPr>
          <w:rFonts w:hint="eastAsia" w:ascii="仿宋_GB2312" w:hAnsi="仿宋" w:eastAsia="仿宋_GB2312"/>
          <w:sz w:val="32"/>
          <w:szCs w:val="32"/>
        </w:rPr>
        <w:t>深化纪检监察体制改革，</w:t>
      </w:r>
      <w:r>
        <w:rPr>
          <w:rFonts w:hint="eastAsia" w:ascii="仿宋_GB2312" w:hAnsi="仿宋" w:eastAsia="仿宋_GB2312" w:cs="Times New Roman"/>
          <w:kern w:val="2"/>
          <w:sz w:val="32"/>
          <w:szCs w:val="32"/>
        </w:rPr>
        <w:t>推动纪律、监察、巡察、派驻等“四项监督”的有机贯通，加强党内监督与人大、政协、审计、群众、舆论等监督统筹衔接。推动巡视、巡察等发现问题整改。</w:t>
      </w:r>
      <w:r>
        <w:rPr>
          <w:rFonts w:hint="eastAsia" w:ascii="仿宋_GB2312" w:hAnsi="仿宋" w:eastAsia="仿宋_GB2312"/>
          <w:sz w:val="32"/>
          <w:szCs w:val="32"/>
        </w:rPr>
        <w:t>严格落实中央八项规定精神，大力纠治“四风”特别是形式主义、官僚主义，切实为基层减负</w:t>
      </w:r>
      <w:r>
        <w:rPr>
          <w:rFonts w:hint="eastAsia" w:ascii="仿宋_GB2312" w:hAnsi="仿宋" w:eastAsia="仿宋_GB2312" w:cs="Times New Roman"/>
          <w:kern w:val="2"/>
          <w:sz w:val="32"/>
          <w:szCs w:val="32"/>
        </w:rPr>
        <w:t>，坚决防止“四风”问题反弹回潮</w:t>
      </w:r>
      <w:r>
        <w:rPr>
          <w:rFonts w:hint="eastAsia" w:ascii="仿宋_GB2312" w:hAnsi="仿宋" w:eastAsia="仿宋_GB2312"/>
          <w:sz w:val="32"/>
          <w:szCs w:val="32"/>
        </w:rPr>
        <w:t>。</w:t>
      </w:r>
      <w:r>
        <w:rPr>
          <w:rFonts w:hint="eastAsia" w:ascii="仿宋_GB2312" w:hAnsi="仿宋" w:eastAsia="仿宋_GB2312" w:cs="Times New Roman"/>
          <w:kern w:val="2"/>
          <w:sz w:val="32"/>
          <w:szCs w:val="32"/>
        </w:rPr>
        <w:t>始终坚持“严”的主基调，紧盯不收敛不收手，坚决查处重点领域和群众身边腐败问题，一体推进不敢腐、不能腐、不想腐，营造风清气正的政治生态</w:t>
      </w:r>
      <w:r>
        <w:rPr>
          <w:rFonts w:hint="eastAsia" w:ascii="仿宋_GB2312" w:hAnsi="仿宋" w:eastAsia="仿宋_GB2312"/>
          <w:sz w:val="32"/>
          <w:szCs w:val="32"/>
        </w:rPr>
        <w:t>。加强思想道德和党纪国法教育，强化党员、干部廉洁从政意识。运用监督执纪“四种形态”，以精准有力问责引导、激励、督促党员干部担当作为。</w:t>
      </w:r>
    </w:p>
    <w:p>
      <w:pPr>
        <w:ind w:firstLine="642"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动员全社会力量共同奋斗。</w:t>
      </w:r>
      <w:r>
        <w:rPr>
          <w:rFonts w:hint="eastAsia" w:ascii="仿宋_GB2312" w:hAnsi="仿宋" w:eastAsia="仿宋_GB2312" w:cs="楷体_GB2312"/>
          <w:sz w:val="32"/>
          <w:szCs w:val="32"/>
        </w:rPr>
        <w:t>全面贯彻党的群众路线，不断完善联系群众、了解群众、服务群众、组织群众的工作机制，紧紧依靠人民群众推动临高经济社会发展。充分发挥人大、政协的制度优势，加强重大发展问题和涉及群众切身利益问题的协商，把全过程民主、实质性民主贯穿到各个方面，形成推动经济社会发展的合力。健全群团工作体系，充分发挥工会、共青团、妇联、关工委等人民团体和各类社会组织的积极作用，动员广大人民群众积极投身临高全面深化改革开放主战场。巩固和发展最广泛的爱国统一战线，完善大统战工作格局，充分发挥民主党派、工商联、无党派人士和民族宗教界人士作用，广泛团结一切关心临高发展的爱国人士，最大限度地凝聚共识、凝聚人心、凝聚智慧、凝聚力量，共同为建设“三区一园”美丽幸福新临高努力奋斗。</w:t>
      </w:r>
    </w:p>
    <w:p>
      <w:pPr>
        <w:pStyle w:val="3"/>
        <w:spacing w:line="240" w:lineRule="auto"/>
        <w:jc w:val="center"/>
        <w:rPr>
          <w:rFonts w:ascii="楷体_GB2312" w:eastAsia="楷体_GB2312" w:cs="楷体" w:hAnsiTheme="majorEastAsia"/>
          <w:szCs w:val="32"/>
        </w:rPr>
      </w:pPr>
      <w:bookmarkStart w:id="84" w:name="_Toc64143049"/>
      <w:r>
        <w:rPr>
          <w:rFonts w:hint="eastAsia" w:ascii="楷体_GB2312" w:eastAsia="楷体_GB2312" w:cs="楷体" w:hAnsiTheme="majorEastAsia"/>
          <w:szCs w:val="32"/>
        </w:rPr>
        <w:t>第二节  健全规划实施机制</w:t>
      </w:r>
      <w:bookmarkEnd w:id="84"/>
    </w:p>
    <w:p>
      <w:pPr>
        <w:ind w:firstLine="640" w:firstLineChars="200"/>
        <w:rPr>
          <w:rFonts w:ascii="仿宋_GB2312" w:hAnsi="仿宋" w:eastAsia="仿宋_GB2312" w:cs="楷体_GB2312"/>
          <w:sz w:val="32"/>
          <w:szCs w:val="32"/>
        </w:rPr>
      </w:pPr>
      <w:bookmarkStart w:id="85" w:name="_Toc21006"/>
      <w:r>
        <w:rPr>
          <w:rFonts w:hint="eastAsia" w:ascii="仿宋_GB2312" w:hAnsi="仿宋" w:eastAsia="仿宋_GB2312" w:cs="楷体_GB2312"/>
          <w:sz w:val="32"/>
          <w:szCs w:val="32"/>
        </w:rPr>
        <w:t>明确政府主体责任，科学制定政策和配置公共资源，有效发挥市场机制作用，充分激发市场主体活力，共同推动规划顺利实施。</w:t>
      </w:r>
    </w:p>
    <w:p>
      <w:pPr>
        <w:ind w:firstLine="642" w:firstLineChars="200"/>
        <w:rPr>
          <w:rFonts w:ascii="仿宋_GB2312" w:hAnsi="仿宋_GB2312" w:eastAsia="仿宋_GB2312" w:cs="仿宋_GB2312"/>
          <w:szCs w:val="32"/>
        </w:rPr>
      </w:pPr>
      <w:r>
        <w:rPr>
          <w:rFonts w:hint="eastAsia" w:ascii="仿宋_GB2312" w:hAnsi="楷体" w:eastAsia="仿宋_GB2312" w:cs="楷体_GB2312"/>
          <w:b/>
          <w:sz w:val="32"/>
          <w:szCs w:val="32"/>
        </w:rPr>
        <w:t>加快建立简明科学的规划体系</w:t>
      </w:r>
      <w:bookmarkEnd w:id="85"/>
      <w:r>
        <w:rPr>
          <w:rFonts w:hint="eastAsia" w:ascii="仿宋_GB2312" w:hAnsi="楷体" w:eastAsia="仿宋_GB2312" w:cs="楷体_GB2312"/>
          <w:b/>
          <w:sz w:val="32"/>
          <w:szCs w:val="32"/>
        </w:rPr>
        <w:t>。</w:t>
      </w:r>
      <w:r>
        <w:rPr>
          <w:rFonts w:hint="eastAsia" w:ascii="仿宋_GB2312" w:hAnsi="仿宋" w:eastAsia="仿宋_GB2312" w:cs="仿宋_GB2312"/>
          <w:sz w:val="32"/>
          <w:szCs w:val="32"/>
        </w:rPr>
        <w:t>立足新形势新任务新要求,明确各类规划功能定位,理顺本规划（以下称规划纲要）和县级空间规划、专项规划、区域规划的相互关系,加快形成以规划纲要为统领，以空间规划为基础，以专项规划和区域规划为支撑，定位准确、边界清晰、功能互补、统一衔接的全县发展规划体系。有关部门要抓紧组织编制一批县级重点专项规划和区域规划，细化落实规划纲要对特定领域和特定区域提出的战略任务,更好地发挥对规划纲要的支撑作用。依据规划纲要抓紧编制空间国土规划，统一规划期，更好地为规划纲要落地实施提供空间保障。</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统筹规范规划编制管理。</w:t>
      </w:r>
      <w:r>
        <w:rPr>
          <w:rFonts w:hint="eastAsia" w:ascii="仿宋_GB2312" w:hAnsi="仿宋" w:eastAsia="仿宋_GB2312" w:cs="仿宋_GB2312"/>
          <w:sz w:val="32"/>
          <w:szCs w:val="32"/>
        </w:rPr>
        <w:t>建立健全县级规划目录清单、编制备案、衔接协调等制度,有效解决规划数量过多、质量不高、衔接不充分、交叉重叠、空洞无物、低水平重复等问题，着力提升规划编制水平。加强规划综合管理,将各类规划纳入统一管理,强化规划衔接协调,跟踪监测规划编制和实施进程,推动规划基础信息互联互通和归集共享。树立县级规划贵在落实、实施和执行的科学理念，坚决不做“纸上画画、墙上挂挂、嘴上说说”等劳民伤财的事情。</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健全规划实施推进机制。</w:t>
      </w:r>
      <w:r>
        <w:rPr>
          <w:rFonts w:hint="eastAsia" w:ascii="仿宋_GB2312" w:hAnsi="仿宋" w:eastAsia="仿宋_GB2312" w:cs="仿宋_GB2312"/>
          <w:sz w:val="32"/>
          <w:szCs w:val="32"/>
        </w:rPr>
        <w:t>加强对规划纲要实施的组织、协调和督导，分解规划纲要提出的目标任务，明确牵头单位和工作责任，强化绩效考核，努力提高规划实施效果。各部门、各园区、各乡镇要明确自身职责和工作重点，加强政策引导、项目支撑和资金统筹，确保规划落地实施、取得实效。分类落实规划纲要目标任务，规划纲要提出的约束性指标和公共服务领域的重大工程、重大项目、重大政策以及有关自贸港建设的重要改革开放任务，责任主体要制定落实规划的路线图和时间表，按进度要求确保如期完成。规划纲要提出的预期性指标和产业发展、结构调整等任务，主要依靠市场主体的自主行为实现，要完善市场机制和利益导向机制，充分发挥市场配置资源的决定性作用，菅造鼓励竞争、促进创新的市场环境，激发市场主体的积极性和创造性，合理引导市场预期和市场主体行为。</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加强规划实施支持保障。</w:t>
      </w:r>
      <w:r>
        <w:rPr>
          <w:rFonts w:hint="eastAsia" w:ascii="仿宋_GB2312" w:hAnsi="仿宋" w:eastAsia="仿宋_GB2312" w:cs="仿宋_GB2312"/>
          <w:sz w:val="32"/>
          <w:szCs w:val="32"/>
        </w:rPr>
        <w:t>加强年度计划与规划纲要衔接，年度计划要贯彻规划纲要提出的发展目标和重点任务，将规划纲要确定的主要指标分解纳入年度计划指标体系，并结合形势发展确定年度工作重点，明确重大工程、重大项目、重大举措的年度实施要求。加强财政对规划纲要实施的保障作用，财政部门要编制与规划纲要相匹配的财政规划，加强财政预算与规划实施的衔接协调，统筹安排财政支出规模和结构，财政性资金优先投向规划纲要确定的重大任务和重大工程项目。强化重大工程项目对规划纲要的支撑作用，加强与上级规划衔接对接，在各行各业策划储备一批落实国家发展战略和海南发展战略的重大工程项目，积极争取国家、海南省财政性专项资金和政策性金融资金的支持，同时要加紧策划储备一批创新型改革开放重大工程项目，积极吸引外资为我所用。对纳入规划纲要的重大建设项目，要优先保障规划选址、土地供应和融资安排。</w:t>
      </w:r>
    </w:p>
    <w:p>
      <w:pPr>
        <w:ind w:firstLine="642" w:firstLineChars="200"/>
        <w:rPr>
          <w:rFonts w:ascii="仿宋_GB2312" w:hAnsi="仿宋" w:eastAsia="仿宋_GB2312" w:cs="仿宋_GB2312"/>
          <w:sz w:val="32"/>
          <w:szCs w:val="32"/>
        </w:rPr>
      </w:pPr>
      <w:r>
        <w:rPr>
          <w:rFonts w:hint="eastAsia" w:ascii="仿宋_GB2312" w:hAnsi="楷体" w:eastAsia="仿宋_GB2312" w:cs="仿宋_GB2312"/>
          <w:b/>
          <w:sz w:val="32"/>
          <w:szCs w:val="32"/>
        </w:rPr>
        <w:t>完善规划实施监测评估机制。</w:t>
      </w:r>
      <w:r>
        <w:rPr>
          <w:rFonts w:hint="eastAsia" w:ascii="仿宋_GB2312" w:hAnsi="仿宋" w:eastAsia="仿宋_GB2312" w:cs="仿宋_GB2312"/>
          <w:sz w:val="32"/>
          <w:szCs w:val="32"/>
        </w:rPr>
        <w:t>加强对规划纲要实施情况的动态监测，国民经济和社会发展年度计划报告要分析评估规划纲要实施情况，特别是约束性指标的完成情况，自觉接受县人民代表大会及其常委会的监督检查，接受审计监督和社会监督。组织开展规划纲要实施情况中期评估，评估报告报县委、县政府审定后提请县人大常务委员会审议。经中期评估确需对规划纲要进行调整修订时，须按照新形势新要求调整完善规划内容，由县政府提出调整建议，经县委同意后，提请县人大常务委员会审查批准。加强规划指标统计技术能力建设，完善规划指标统计制度，为科学评估规划实施情况提供科学的统计信息支撑。</w:t>
      </w:r>
    </w:p>
    <w:p>
      <w:pPr>
        <w:widowControl/>
        <w:rPr>
          <w:rFonts w:ascii="黑体" w:hAnsi="黑体" w:eastAsia="黑体" w:cstheme="minorBidi"/>
          <w:sz w:val="32"/>
          <w:szCs w:val="32"/>
        </w:rPr>
      </w:pPr>
      <w:r>
        <w:rPr>
          <w:rFonts w:hint="eastAsia" w:ascii="黑体" w:hAnsi="黑体" w:eastAsia="黑体" w:cstheme="minorBidi"/>
          <w:sz w:val="32"/>
          <w:szCs w:val="32"/>
        </w:rPr>
        <w:t>附录：</w:t>
      </w:r>
    </w:p>
    <w:p>
      <w:pPr>
        <w:widowControl/>
        <w:jc w:val="center"/>
        <w:rPr>
          <w:rFonts w:ascii="方正小标宋简体" w:hAnsi="仿宋_GB2312" w:eastAsia="方正小标宋简体" w:cs="仿宋_GB2312"/>
          <w:bCs/>
          <w:sz w:val="32"/>
        </w:rPr>
      </w:pPr>
      <w:r>
        <w:rPr>
          <w:rFonts w:hint="eastAsia" w:ascii="方正小标宋简体" w:hAnsi="黑体" w:eastAsia="方正小标宋简体" w:cstheme="minorBidi"/>
          <w:sz w:val="32"/>
          <w:szCs w:val="32"/>
        </w:rPr>
        <w:t>名 词 解 释</w:t>
      </w:r>
    </w:p>
    <w:p>
      <w:pPr>
        <w:rPr>
          <w:rFonts w:ascii="仿宋" w:hAnsi="仿宋" w:eastAsia="仿宋" w:cstheme="minorBidi"/>
          <w:sz w:val="28"/>
          <w:szCs w:val="28"/>
        </w:rPr>
      </w:pP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学前教育两个比例：</w:t>
      </w:r>
      <w:r>
        <w:rPr>
          <w:rFonts w:hint="eastAsia" w:ascii="仿宋_GB2312" w:hAnsi="仿宋" w:eastAsia="仿宋_GB2312" w:cstheme="minorBidi"/>
          <w:sz w:val="32"/>
          <w:szCs w:val="32"/>
        </w:rPr>
        <w:t>公办幼儿园就读幼儿比例和普惠性幼儿园占全部幼儿园的比例。</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三块地改革：</w:t>
      </w:r>
      <w:r>
        <w:rPr>
          <w:rFonts w:hint="eastAsia" w:ascii="仿宋_GB2312" w:hAnsi="仿宋" w:eastAsia="仿宋_GB2312" w:cstheme="minorBidi"/>
          <w:sz w:val="32"/>
          <w:szCs w:val="32"/>
        </w:rPr>
        <w:t>指农村土地征收、集体经营性建设用地入市、宅基地制度改革。</w:t>
      </w:r>
    </w:p>
    <w:p>
      <w:pPr>
        <w:spacing w:line="560" w:lineRule="exact"/>
        <w:ind w:firstLine="642" w:firstLineChars="200"/>
        <w:rPr>
          <w:rFonts w:ascii="仿宋_GB2312" w:hAnsi="楷体" w:eastAsia="仿宋_GB2312" w:cstheme="minorBidi"/>
          <w:sz w:val="32"/>
          <w:szCs w:val="32"/>
        </w:rPr>
      </w:pPr>
      <w:r>
        <w:rPr>
          <w:rFonts w:hint="eastAsia" w:ascii="仿宋_GB2312" w:hAnsi="楷体" w:eastAsia="仿宋_GB2312" w:cstheme="minorBidi"/>
          <w:b/>
          <w:sz w:val="32"/>
          <w:szCs w:val="32"/>
        </w:rPr>
        <w:t>六星党支部：</w:t>
      </w:r>
      <w:r>
        <w:rPr>
          <w:rFonts w:hint="eastAsia" w:ascii="仿宋_GB2312" w:hAnsi="仿宋" w:eastAsia="仿宋_GB2312" w:cstheme="minorBidi"/>
          <w:sz w:val="32"/>
          <w:szCs w:val="32"/>
        </w:rPr>
        <w:t>履行党建职责星、加强政治建设星、组织建设规范星、真诚服务群众星、推动改革发展星、创建特色品牌星。</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两港、两业、两旅、慢城：</w:t>
      </w:r>
      <w:r>
        <w:rPr>
          <w:rFonts w:hint="eastAsia" w:ascii="仿宋_GB2312" w:hAnsi="仿宋" w:eastAsia="仿宋_GB2312" w:cstheme="minorBidi"/>
          <w:sz w:val="32"/>
          <w:szCs w:val="32"/>
        </w:rPr>
        <w:t>两港指金牌海港和儋州机场空港，两业指热带高效农业和海洋渔业，两旅指农业旅游和文化旅游，慢城指在东英镇建设国际慢城。</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原产地规则：</w:t>
      </w:r>
      <w:r>
        <w:rPr>
          <w:rFonts w:hint="eastAsia" w:ascii="仿宋_GB2312" w:hAnsi="仿宋" w:eastAsia="仿宋_GB2312" w:cstheme="minorBidi"/>
          <w:sz w:val="32"/>
          <w:szCs w:val="32"/>
        </w:rPr>
        <w:t>对鼓励类产业企业生产的不含进口料件或者含进口料件在海南自由贸易港加工增值超过30%（含）的货物，经“二线”进入内地免征进口关税，照章征收进口环节增值税、消费税。</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两新一重：</w:t>
      </w:r>
      <w:r>
        <w:rPr>
          <w:rFonts w:hint="eastAsia" w:ascii="仿宋_GB2312" w:hAnsi="仿宋" w:eastAsia="仿宋_GB2312" w:cstheme="minorBidi"/>
          <w:sz w:val="32"/>
          <w:szCs w:val="32"/>
        </w:rPr>
        <w:t>新型基础设施、新型城镇化和交通、水利等重大工程。</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临高古八景：</w:t>
      </w:r>
      <w:r>
        <w:rPr>
          <w:rFonts w:hint="eastAsia" w:ascii="仿宋_GB2312" w:hAnsi="仿宋" w:eastAsia="仿宋_GB2312" w:cstheme="minorBidi"/>
          <w:sz w:val="32"/>
          <w:szCs w:val="32"/>
        </w:rPr>
        <w:t>盆岭晴霞、东桥春涨、毗耶灵石、桐乡夏荫、澹庵泉迹、百仞滩声、龙潭神雨、南海秋涛。</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招商引资六个一工作机制：</w:t>
      </w:r>
      <w:r>
        <w:rPr>
          <w:rFonts w:hint="eastAsia" w:ascii="仿宋_GB2312" w:hAnsi="仿宋" w:eastAsia="仿宋_GB2312" w:cstheme="minorBidi"/>
          <w:sz w:val="32"/>
          <w:szCs w:val="32"/>
        </w:rPr>
        <w:t>一个产业、一名县领导抓总、一个规划引领、一套政策扶持、一个工作专班、一抓到底。</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一线两岸：</w:t>
      </w:r>
      <w:r>
        <w:rPr>
          <w:rFonts w:hint="eastAsia" w:ascii="仿宋_GB2312" w:hAnsi="仿宋" w:eastAsia="仿宋_GB2312" w:cstheme="minorBidi"/>
          <w:sz w:val="32"/>
          <w:szCs w:val="32"/>
        </w:rPr>
        <w:t>指临高北部海岸线和南北走向的文澜江沿河两岸。</w:t>
      </w:r>
    </w:p>
    <w:p>
      <w:pPr>
        <w:spacing w:line="560" w:lineRule="exact"/>
        <w:ind w:firstLine="640" w:firstLineChars="200"/>
        <w:rPr>
          <w:rFonts w:ascii="仿宋_GB2312" w:hAnsi="仿宋" w:eastAsia="仿宋_GB2312" w:cstheme="minorBidi"/>
          <w:sz w:val="32"/>
          <w:szCs w:val="32"/>
        </w:rPr>
      </w:pPr>
      <w:r>
        <w:rPr>
          <w:rFonts w:hint="eastAsia" w:ascii="仿宋_GB2312" w:hAnsi="楷体" w:eastAsia="仿宋_GB2312" w:cstheme="minorBidi"/>
          <w:sz w:val="32"/>
          <w:szCs w:val="32"/>
        </w:rPr>
        <w:t>大临城战略：</w:t>
      </w:r>
      <w:r>
        <w:rPr>
          <w:rFonts w:hint="eastAsia" w:ascii="仿宋_GB2312" w:hAnsi="仿宋" w:eastAsia="仿宋_GB2312" w:cstheme="minorBidi"/>
          <w:sz w:val="32"/>
          <w:szCs w:val="32"/>
        </w:rPr>
        <w:t>打破乡镇行政分割，统筹临高北部滨海区域新型城镇化建设，推进临城、东英、博后、波莲、新盈、调楼六镇基础设施、产业发展、生态环境、共共服务一体化发展。</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滨海新区：</w:t>
      </w:r>
      <w:r>
        <w:rPr>
          <w:rFonts w:hint="eastAsia" w:ascii="仿宋_GB2312" w:hAnsi="仿宋" w:eastAsia="仿宋_GB2312" w:cstheme="minorBidi"/>
          <w:sz w:val="32"/>
          <w:szCs w:val="32"/>
        </w:rPr>
        <w:t>临高北部沿海“十四五”重点开发建设区域的统称。</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南部生态经济区：</w:t>
      </w:r>
      <w:r>
        <w:rPr>
          <w:rFonts w:hint="eastAsia" w:ascii="仿宋_GB2312" w:hAnsi="仿宋" w:eastAsia="仿宋_GB2312" w:cstheme="minorBidi"/>
          <w:sz w:val="32"/>
          <w:szCs w:val="32"/>
        </w:rPr>
        <w:t>临高南部文澜江中上游地区，中游加来、多文、皇桐等镇主要为热带高效农业区，上游南宝、和舍等镇主要为林业生态区。</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EPC+O模式：</w:t>
      </w:r>
      <w:r>
        <w:rPr>
          <w:rFonts w:hint="eastAsia" w:ascii="仿宋_GB2312" w:hAnsi="仿宋" w:eastAsia="仿宋_GB2312" w:cstheme="minorBidi"/>
          <w:sz w:val="32"/>
          <w:szCs w:val="32"/>
        </w:rPr>
        <w:t>项目建设设计、采购、施工和运营总承包。</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ISO14000环境管理系列标准：</w:t>
      </w:r>
      <w:r>
        <w:rPr>
          <w:rFonts w:hint="eastAsia" w:ascii="仿宋_GB2312" w:hAnsi="仿宋" w:eastAsia="仿宋_GB2312" w:cstheme="minorBidi"/>
          <w:sz w:val="32"/>
          <w:szCs w:val="32"/>
        </w:rPr>
        <w:t>国际标准化组织(ISO)继ISO9000标准之后推出的又一个管理标准。</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农村小学“3+3”模式：</w:t>
      </w:r>
      <w:r>
        <w:rPr>
          <w:rFonts w:hint="eastAsia" w:ascii="仿宋_GB2312" w:hAnsi="仿宋" w:eastAsia="仿宋_GB2312" w:cstheme="minorBidi"/>
          <w:sz w:val="32"/>
          <w:szCs w:val="32"/>
        </w:rPr>
        <w:t>农村小学三年级和三年学前教育幼儿园合并占用一所校舍。</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一县两校一园工程：</w:t>
      </w:r>
      <w:r>
        <w:rPr>
          <w:rFonts w:hint="eastAsia" w:ascii="仿宋_GB2312" w:hAnsi="仿宋" w:eastAsia="仿宋_GB2312" w:cstheme="minorBidi"/>
          <w:sz w:val="32"/>
          <w:szCs w:val="32"/>
        </w:rPr>
        <w:t>每个市县通过引进省外优质教育资源，至少办好1所省级水平优质中学、1所省级水平优质小学和1所省级水平优质幼儿园。</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一县一院工程：</w:t>
      </w:r>
      <w:r>
        <w:rPr>
          <w:rFonts w:hint="eastAsia" w:ascii="仿宋_GB2312" w:hAnsi="仿宋" w:eastAsia="仿宋_GB2312" w:cstheme="minorBidi"/>
          <w:sz w:val="32"/>
          <w:szCs w:val="32"/>
        </w:rPr>
        <w:t>每个市县至少有1所国内优质医院进行帮扶、每个市县建成省级水平临床重点专科或学科、县域内就诊率达到90%左右。</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一核两委一会：</w:t>
      </w:r>
      <w:r>
        <w:rPr>
          <w:rFonts w:hint="eastAsia" w:ascii="仿宋_GB2312" w:hAnsi="仿宋" w:eastAsia="仿宋_GB2312" w:cstheme="minorBidi"/>
          <w:sz w:val="32"/>
          <w:szCs w:val="32"/>
        </w:rPr>
        <w:t>一核是村党组织，是领导核心；两委是村民委员会和村务监督委员会，是自治组织和监督组织；一会是村务协商会，是村民协调议事组织。</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两新组织：</w:t>
      </w:r>
      <w:r>
        <w:rPr>
          <w:rFonts w:hint="eastAsia" w:ascii="仿宋_GB2312" w:hAnsi="仿宋" w:eastAsia="仿宋_GB2312" w:cstheme="minorBidi"/>
          <w:sz w:val="32"/>
          <w:szCs w:val="32"/>
        </w:rPr>
        <w:t>指非公有制经济组织和社会组织。</w:t>
      </w:r>
    </w:p>
    <w:p>
      <w:pPr>
        <w:spacing w:line="560" w:lineRule="exact"/>
        <w:ind w:firstLine="642" w:firstLineChars="200"/>
        <w:rPr>
          <w:rFonts w:ascii="仿宋_GB2312" w:hAnsi="仿宋" w:eastAsia="仿宋_GB2312" w:cstheme="minorBidi"/>
          <w:sz w:val="32"/>
          <w:szCs w:val="32"/>
        </w:rPr>
      </w:pPr>
      <w:r>
        <w:rPr>
          <w:rFonts w:hint="eastAsia" w:ascii="仿宋_GB2312" w:hAnsi="楷体" w:eastAsia="仿宋_GB2312" w:cstheme="minorBidi"/>
          <w:b/>
          <w:sz w:val="32"/>
          <w:szCs w:val="32"/>
        </w:rPr>
        <w:t>八种本领：</w:t>
      </w:r>
      <w:r>
        <w:rPr>
          <w:rFonts w:hint="eastAsia" w:ascii="仿宋_GB2312" w:hAnsi="仿宋" w:eastAsia="仿宋_GB2312" w:cstheme="minorBidi"/>
          <w:sz w:val="32"/>
          <w:szCs w:val="32"/>
        </w:rPr>
        <w:t>“学习本领、政治领导本领、改革创新本领、科学发展本领、依法执政本领、群众工作本领、狠抓落实本领、驾驭风险本领”。</w:t>
      </w:r>
    </w:p>
    <w:p>
      <w:pPr>
        <w:spacing w:line="560" w:lineRule="exact"/>
        <w:ind w:firstLine="642" w:firstLineChars="200"/>
        <w:rPr>
          <w:rFonts w:ascii="仿宋_GB2312" w:hAnsi="仿宋" w:eastAsia="仿宋_GB2312" w:cstheme="minorBidi"/>
          <w:sz w:val="28"/>
          <w:szCs w:val="28"/>
        </w:rPr>
      </w:pPr>
      <w:r>
        <w:rPr>
          <w:rFonts w:hint="eastAsia" w:ascii="仿宋_GB2312" w:hAnsi="楷体" w:eastAsia="仿宋_GB2312" w:cstheme="minorBidi"/>
          <w:b/>
          <w:sz w:val="32"/>
          <w:szCs w:val="32"/>
        </w:rPr>
        <w:t>七种能力：</w:t>
      </w:r>
      <w:r>
        <w:rPr>
          <w:rFonts w:hint="eastAsia" w:ascii="仿宋_GB2312" w:hAnsi="仿宋" w:eastAsia="仿宋_GB2312" w:cstheme="minorBidi"/>
          <w:sz w:val="32"/>
          <w:szCs w:val="32"/>
        </w:rPr>
        <w:t>“政治能力、调查研究能力、科学决策能力、改革攻坚能力、应急处突能力、群众工作能力、抓落实能力”。</w:t>
      </w:r>
    </w:p>
    <w:p>
      <w:pPr>
        <w:spacing w:line="480" w:lineRule="auto"/>
        <w:rPr>
          <w:rFonts w:cs="仿宋_GB2312" w:asciiTheme="majorEastAsia" w:hAnsiTheme="majorEastAsia" w:eastAsiaTheme="majorEastAsia"/>
          <w:b/>
          <w:bCs/>
          <w:sz w:val="28"/>
          <w:szCs w:val="28"/>
        </w:rPr>
      </w:pPr>
    </w:p>
    <w:sectPr>
      <w:footerReference r:id="rId11" w:type="default"/>
      <w:pgSz w:w="11906" w:h="16838"/>
      <w:pgMar w:top="1985" w:right="1531" w:bottom="1814" w:left="1531"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pict>
        <v:shape id="文本框 1034" o:spid="_x0000_s4103" o:spt="202" type="#_x0000_t202" style="position:absolute;left:0pt;margin-top:0pt;height:144pt;width:144pt;mso-position-horizontal:center;mso-position-horizontal-relative:margin;mso-wrap-style:non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">
          <v:path/>
          <v:fill on="f" focussize="0,0"/>
          <v:stroke on="f" weight="1.25pt" joinstyle="miter"/>
          <v:imagedata o:title=""/>
          <o:lock v:ext="edit"/>
          <v:textbox inset="0mm,0mm,0mm,0mm" style="mso-fit-shape-to-text:t;">
            <w:txbxContent>
              <w:p>
                <w:pPr>
                  <w:pStyle w:val="7"/>
                  <w:rPr>
                    <w:rStyle w:val="14"/>
                    <w:rFonts w:ascii="宋体" w:hAnsi="宋体"/>
                    <w:sz w:val="28"/>
                    <w:szCs w:val="28"/>
                  </w:rPr>
                </w:pPr>
              </w:p>
            </w:txbxContent>
          </v:textbox>
        </v:shape>
      </w:pict>
    </w:r>
    <w:r>
      <w:pict>
        <v:shape id="文本框 1035" o:spid="_x0000_s4102" o:spt="202" type="#_x0000_t202" style="position:absolute;left:0pt;margin-top:0pt;height:10.35pt;width:9.05pt;mso-position-horizontal:center;mso-position-horizontal-relative:margin;mso-wrap-style:none;z-index:2516531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A68c0PvwIA&#10;ALEFAAAOAAAAAAAAAAAAAAAAAC4CAABkcnMvZTJvRG9jLnhtbFBLAQItABQABgAIAAAAIQAIiQER&#10;1wAAAAMBAAAPAAAAAAAAAAAAAAAAABkFAABkcnMvZG93bnJldi54bWxQSwUGAAAAAAQABADzAAAA&#10;HQYAAAAA&#10;">
          <v:path/>
          <v:fill on="f" focussize="0,0"/>
          <v:stroke on="f" joinstyle="miter"/>
          <v:imagedata o:title=""/>
          <o:lock v:ext="edit"/>
          <v:textbox inset="0mm,0mm,0mm,0mm" style="mso-fit-shape-to-text:t;">
            <w:txbxContent>
              <w:p>
                <w:pPr>
                  <w:pStyle w:val="7"/>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2" o:spid="_x0000_s4101" o:spt="202" type="#_x0000_t202" style="position:absolute;left:0pt;margin-top:0pt;height:10.35pt;width:9.05pt;mso-position-horizontal:center;mso-position-horizontal-relative:margin;mso-wrap-style:non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">
          <v:path/>
          <v:fill on="f" focussize="0,0"/>
          <v:stroke on="f" weight="1.25pt" joinstyle="miter"/>
          <v:imagedata o:title=""/>
          <o:lock v:ext="edit"/>
          <v:textbox inset="0mm,0mm,0mm,0mm" style="mso-fit-shape-to-text:t;">
            <w:txbxContent>
              <w:p>
                <w:pPr>
                  <w:pStyle w:val="7"/>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pict>
        <v:shape id="_x0000_s4100" o:spid="_x0000_s4100" o:spt="202" type="#_x0000_t202" style="position:absolute;left:0pt;margin-top:0pt;height:18.15pt;width:9.05pt;mso-position-horizontal:center;mso-position-horizontal-relative:margin;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8WvwIAALI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">
          <v:path/>
          <v:fill on="f" focussize="0,0"/>
          <v:stroke on="f" weight="1.25pt" joinstyle="miter"/>
          <v:imagedata o:title=""/>
          <o:lock v:ext="edit"/>
          <v:textbox inset="0mm,0mm,0mm,0mm" style="mso-fit-shape-to-text:t;">
            <w:txbxContent>
              <w:p>
                <w:pPr>
                  <w:pStyle w:val="7"/>
                  <w:rPr>
                    <w:rStyle w:val="14"/>
                    <w:rFonts w:ascii="宋体" w:hAnsi="宋体"/>
                    <w:sz w:val="28"/>
                    <w:szCs w:val="28"/>
                  </w:rPr>
                </w:pPr>
              </w:p>
            </w:txbxContent>
          </v:textbox>
        </v:shape>
      </w:pict>
    </w:r>
    <w:r>
      <w:pict>
        <v:shape id="_x0000_s4099" o:spid="_x0000_s4099" o:spt="202" type="#_x0000_t202" style="position:absolute;left:0pt;margin-top:0pt;height:10.35pt;width:9.05pt;mso-position-horizontal:center;mso-position-horizontal-relative:margin;mso-wrap-style:non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">
          <v:path/>
          <v:fill on="f" focussize="0,0"/>
          <v:stroke on="f" joinstyle="miter"/>
          <v:imagedata o:title=""/>
          <o:lock v:ext="edit"/>
          <v:textbox inset="0mm,0mm,0mm,0mm" style="mso-fit-shape-to-text:t;">
            <w:txbxContent>
              <w:p>
                <w:pPr>
                  <w:pStyle w:val="7"/>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9"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">
          <v:path/>
          <v:fill on="f" focussize="0,0"/>
          <v:stroke on="f" weight="1.25pt" joinstyle="miter"/>
          <v:imagedata o:title=""/>
          <o:lock v:ext="edit"/>
          <v:textbox inset="0mm,0mm,0mm,0mm" style="mso-fit-shape-to-text:t;">
            <w:txbxContent>
              <w:p>
                <w:pPr>
                  <w:pStyle w:val="7"/>
                </w:pPr>
                <w:r>
                  <w:fldChar w:fldCharType="begin"/>
                </w:r>
                <w:r>
                  <w:instrText xml:space="preserve"> PAGE  \* MERGEFORMAT </w:instrText>
                </w:r>
                <w:r>
                  <w:fldChar w:fldCharType="separate"/>
                </w:r>
                <w:r>
                  <w:rPr>
                    <w:rFonts w:hint="eastAsia"/>
                  </w:rPr>
                  <w:t>- 1 -</w:t>
                </w:r>
                <w:r>
                  <w:rPr>
                    <w:rFonts w:hint="eastAsia"/>
                  </w:rPr>
                  <w:fldChar w:fldCharType="end"/>
                </w:r>
              </w:p>
            </w:txbxContent>
          </v:textbox>
        </v:shape>
      </w:pict>
    </w:r>
    <w:r>
      <w:pict>
        <v:shape id="文本框 20"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">
          <v:path/>
          <v:fill on="f" focussize="0,0"/>
          <v:stroke on="f" weight="1.25pt" joinstyle="miter"/>
          <v:imagedata o:title=""/>
          <o:lock v:ext="edit"/>
          <v:textbox inset="0mm,0mm,0mm,0mm" style="mso-fit-shape-to-text:t;">
            <w:txbxContent>
              <w:p>
                <w:pPr>
                  <w:pStyle w:val="7"/>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2518"/>
      <w:docPartObj>
        <w:docPartGallery w:val="autotext"/>
      </w:docPartObj>
    </w:sdtPr>
    <w:sdtEndPr>
      <w:rPr>
        <w:sz w:val="24"/>
        <w:szCs w:val="24"/>
      </w:rPr>
    </w:sdtEndPr>
    <w:sdtContent>
      <w:p>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136 -</w:t>
        </w:r>
        <w:r>
          <w:rPr>
            <w:sz w:val="24"/>
            <w:szCs w:val="24"/>
          </w:rPr>
          <w:fldChar w:fldCharType="end"/>
        </w:r>
      </w:p>
    </w:sdtContent>
  </w:sdt>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8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FB"/>
    <w:rsid w:val="00000427"/>
    <w:rsid w:val="00000D2F"/>
    <w:rsid w:val="00000D51"/>
    <w:rsid w:val="000011B5"/>
    <w:rsid w:val="000021DE"/>
    <w:rsid w:val="000021F3"/>
    <w:rsid w:val="00002349"/>
    <w:rsid w:val="00002557"/>
    <w:rsid w:val="00002619"/>
    <w:rsid w:val="00002AFC"/>
    <w:rsid w:val="00002C74"/>
    <w:rsid w:val="0000359B"/>
    <w:rsid w:val="00003749"/>
    <w:rsid w:val="0000397D"/>
    <w:rsid w:val="0000458D"/>
    <w:rsid w:val="0000465F"/>
    <w:rsid w:val="0000473D"/>
    <w:rsid w:val="0000482E"/>
    <w:rsid w:val="00004831"/>
    <w:rsid w:val="000049BF"/>
    <w:rsid w:val="00004C01"/>
    <w:rsid w:val="00004D6B"/>
    <w:rsid w:val="00004E32"/>
    <w:rsid w:val="00004E50"/>
    <w:rsid w:val="00004E87"/>
    <w:rsid w:val="0000519F"/>
    <w:rsid w:val="000058B6"/>
    <w:rsid w:val="00005AE9"/>
    <w:rsid w:val="00006112"/>
    <w:rsid w:val="000061D4"/>
    <w:rsid w:val="00006917"/>
    <w:rsid w:val="00007160"/>
    <w:rsid w:val="000079B2"/>
    <w:rsid w:val="00007B3C"/>
    <w:rsid w:val="00010D05"/>
    <w:rsid w:val="00010D3C"/>
    <w:rsid w:val="0001172F"/>
    <w:rsid w:val="00011D24"/>
    <w:rsid w:val="000121C9"/>
    <w:rsid w:val="00012801"/>
    <w:rsid w:val="00013B1D"/>
    <w:rsid w:val="000140F6"/>
    <w:rsid w:val="000148B1"/>
    <w:rsid w:val="000158C1"/>
    <w:rsid w:val="00015F74"/>
    <w:rsid w:val="00016D5E"/>
    <w:rsid w:val="00016DA6"/>
    <w:rsid w:val="000170F5"/>
    <w:rsid w:val="000173B0"/>
    <w:rsid w:val="00020305"/>
    <w:rsid w:val="000205F0"/>
    <w:rsid w:val="00020D6B"/>
    <w:rsid w:val="00021018"/>
    <w:rsid w:val="00021492"/>
    <w:rsid w:val="000217FB"/>
    <w:rsid w:val="000218AA"/>
    <w:rsid w:val="00021BB5"/>
    <w:rsid w:val="00022B23"/>
    <w:rsid w:val="0002347A"/>
    <w:rsid w:val="000239AF"/>
    <w:rsid w:val="00023A52"/>
    <w:rsid w:val="00023F7B"/>
    <w:rsid w:val="000242AA"/>
    <w:rsid w:val="00024CD0"/>
    <w:rsid w:val="00024D44"/>
    <w:rsid w:val="000252B6"/>
    <w:rsid w:val="0002573C"/>
    <w:rsid w:val="000259A1"/>
    <w:rsid w:val="00025F99"/>
    <w:rsid w:val="00026698"/>
    <w:rsid w:val="00026AC3"/>
    <w:rsid w:val="00026C39"/>
    <w:rsid w:val="0002703C"/>
    <w:rsid w:val="00027C62"/>
    <w:rsid w:val="00030798"/>
    <w:rsid w:val="00030ECB"/>
    <w:rsid w:val="00032810"/>
    <w:rsid w:val="000329CA"/>
    <w:rsid w:val="00032A2F"/>
    <w:rsid w:val="00032C9A"/>
    <w:rsid w:val="000337DE"/>
    <w:rsid w:val="0003392E"/>
    <w:rsid w:val="00033B1C"/>
    <w:rsid w:val="000340EE"/>
    <w:rsid w:val="000341BE"/>
    <w:rsid w:val="00034500"/>
    <w:rsid w:val="0003494A"/>
    <w:rsid w:val="0003523A"/>
    <w:rsid w:val="00035372"/>
    <w:rsid w:val="000353D5"/>
    <w:rsid w:val="00035465"/>
    <w:rsid w:val="0003560B"/>
    <w:rsid w:val="0003577F"/>
    <w:rsid w:val="00035869"/>
    <w:rsid w:val="0003591D"/>
    <w:rsid w:val="000368A8"/>
    <w:rsid w:val="000369B8"/>
    <w:rsid w:val="00036D5D"/>
    <w:rsid w:val="00036EAB"/>
    <w:rsid w:val="0003752C"/>
    <w:rsid w:val="000400DC"/>
    <w:rsid w:val="00040305"/>
    <w:rsid w:val="000407EF"/>
    <w:rsid w:val="000408B1"/>
    <w:rsid w:val="0004099F"/>
    <w:rsid w:val="000409A1"/>
    <w:rsid w:val="00040D3E"/>
    <w:rsid w:val="00041261"/>
    <w:rsid w:val="000414CD"/>
    <w:rsid w:val="00041813"/>
    <w:rsid w:val="000419A0"/>
    <w:rsid w:val="000419D6"/>
    <w:rsid w:val="00041A77"/>
    <w:rsid w:val="00042891"/>
    <w:rsid w:val="00042A74"/>
    <w:rsid w:val="00042DB7"/>
    <w:rsid w:val="00043275"/>
    <w:rsid w:val="0004369C"/>
    <w:rsid w:val="000441E0"/>
    <w:rsid w:val="00044A9A"/>
    <w:rsid w:val="00044FBD"/>
    <w:rsid w:val="0004529C"/>
    <w:rsid w:val="00045338"/>
    <w:rsid w:val="00045598"/>
    <w:rsid w:val="00045BF7"/>
    <w:rsid w:val="000466F6"/>
    <w:rsid w:val="00046B37"/>
    <w:rsid w:val="0004746A"/>
    <w:rsid w:val="00047884"/>
    <w:rsid w:val="000478CC"/>
    <w:rsid w:val="0005029E"/>
    <w:rsid w:val="00050737"/>
    <w:rsid w:val="000509D2"/>
    <w:rsid w:val="00050B6A"/>
    <w:rsid w:val="00050F4C"/>
    <w:rsid w:val="00050FA8"/>
    <w:rsid w:val="00051090"/>
    <w:rsid w:val="00051100"/>
    <w:rsid w:val="000515D6"/>
    <w:rsid w:val="00051665"/>
    <w:rsid w:val="00051808"/>
    <w:rsid w:val="00051E44"/>
    <w:rsid w:val="00051F28"/>
    <w:rsid w:val="00052300"/>
    <w:rsid w:val="00053B49"/>
    <w:rsid w:val="00053B4F"/>
    <w:rsid w:val="00053B6B"/>
    <w:rsid w:val="00053EFC"/>
    <w:rsid w:val="00054108"/>
    <w:rsid w:val="000547C4"/>
    <w:rsid w:val="00054B18"/>
    <w:rsid w:val="00054F1F"/>
    <w:rsid w:val="00055044"/>
    <w:rsid w:val="000551AD"/>
    <w:rsid w:val="0005528F"/>
    <w:rsid w:val="00055420"/>
    <w:rsid w:val="000555CF"/>
    <w:rsid w:val="0005571A"/>
    <w:rsid w:val="00055A69"/>
    <w:rsid w:val="00056E18"/>
    <w:rsid w:val="00056FD3"/>
    <w:rsid w:val="000571FC"/>
    <w:rsid w:val="00057448"/>
    <w:rsid w:val="00057647"/>
    <w:rsid w:val="00057D3D"/>
    <w:rsid w:val="000601D4"/>
    <w:rsid w:val="0006039E"/>
    <w:rsid w:val="000603E2"/>
    <w:rsid w:val="000606DA"/>
    <w:rsid w:val="000608D3"/>
    <w:rsid w:val="00060A33"/>
    <w:rsid w:val="00061136"/>
    <w:rsid w:val="0006124E"/>
    <w:rsid w:val="000612E4"/>
    <w:rsid w:val="000615AE"/>
    <w:rsid w:val="00061807"/>
    <w:rsid w:val="00061E34"/>
    <w:rsid w:val="00062352"/>
    <w:rsid w:val="00062487"/>
    <w:rsid w:val="000627EB"/>
    <w:rsid w:val="00062AA4"/>
    <w:rsid w:val="00062C88"/>
    <w:rsid w:val="0006352E"/>
    <w:rsid w:val="00063B66"/>
    <w:rsid w:val="00063FBF"/>
    <w:rsid w:val="000646C2"/>
    <w:rsid w:val="00065553"/>
    <w:rsid w:val="000656BE"/>
    <w:rsid w:val="00065BAC"/>
    <w:rsid w:val="00065D37"/>
    <w:rsid w:val="00066125"/>
    <w:rsid w:val="000662EA"/>
    <w:rsid w:val="00066E0A"/>
    <w:rsid w:val="000678E8"/>
    <w:rsid w:val="00067CBC"/>
    <w:rsid w:val="000700DA"/>
    <w:rsid w:val="000701CD"/>
    <w:rsid w:val="00071706"/>
    <w:rsid w:val="00071ACB"/>
    <w:rsid w:val="00071CBC"/>
    <w:rsid w:val="0007206B"/>
    <w:rsid w:val="000721A8"/>
    <w:rsid w:val="00072255"/>
    <w:rsid w:val="0007230D"/>
    <w:rsid w:val="00072533"/>
    <w:rsid w:val="000727F4"/>
    <w:rsid w:val="00072895"/>
    <w:rsid w:val="00072911"/>
    <w:rsid w:val="000738AB"/>
    <w:rsid w:val="000739F0"/>
    <w:rsid w:val="00073DE3"/>
    <w:rsid w:val="00073F31"/>
    <w:rsid w:val="00074001"/>
    <w:rsid w:val="0007422C"/>
    <w:rsid w:val="000742F7"/>
    <w:rsid w:val="000744AC"/>
    <w:rsid w:val="000744FB"/>
    <w:rsid w:val="00074770"/>
    <w:rsid w:val="0007539D"/>
    <w:rsid w:val="00075822"/>
    <w:rsid w:val="000760E8"/>
    <w:rsid w:val="000763E3"/>
    <w:rsid w:val="00077387"/>
    <w:rsid w:val="000776B1"/>
    <w:rsid w:val="00077899"/>
    <w:rsid w:val="00077D56"/>
    <w:rsid w:val="00081262"/>
    <w:rsid w:val="000813A1"/>
    <w:rsid w:val="00081808"/>
    <w:rsid w:val="00081CEF"/>
    <w:rsid w:val="00082440"/>
    <w:rsid w:val="000824D7"/>
    <w:rsid w:val="00082EE9"/>
    <w:rsid w:val="00083362"/>
    <w:rsid w:val="000835A9"/>
    <w:rsid w:val="00083648"/>
    <w:rsid w:val="00083B3E"/>
    <w:rsid w:val="0008444D"/>
    <w:rsid w:val="00084724"/>
    <w:rsid w:val="000849A8"/>
    <w:rsid w:val="00084A3A"/>
    <w:rsid w:val="00084B25"/>
    <w:rsid w:val="00084DC8"/>
    <w:rsid w:val="00084EA0"/>
    <w:rsid w:val="00085EE3"/>
    <w:rsid w:val="00086191"/>
    <w:rsid w:val="000864E8"/>
    <w:rsid w:val="000869DA"/>
    <w:rsid w:val="00086E0B"/>
    <w:rsid w:val="00086FCE"/>
    <w:rsid w:val="00087232"/>
    <w:rsid w:val="000875C5"/>
    <w:rsid w:val="0008779B"/>
    <w:rsid w:val="00087913"/>
    <w:rsid w:val="00087A93"/>
    <w:rsid w:val="00087E8A"/>
    <w:rsid w:val="00087F46"/>
    <w:rsid w:val="000905EF"/>
    <w:rsid w:val="00090712"/>
    <w:rsid w:val="00090758"/>
    <w:rsid w:val="00090FF2"/>
    <w:rsid w:val="00091276"/>
    <w:rsid w:val="00091A9A"/>
    <w:rsid w:val="00091F1E"/>
    <w:rsid w:val="000926A3"/>
    <w:rsid w:val="00092B94"/>
    <w:rsid w:val="000931CA"/>
    <w:rsid w:val="00093376"/>
    <w:rsid w:val="0009408F"/>
    <w:rsid w:val="00094230"/>
    <w:rsid w:val="000948DA"/>
    <w:rsid w:val="00094C4B"/>
    <w:rsid w:val="000950E7"/>
    <w:rsid w:val="00095179"/>
    <w:rsid w:val="000951A5"/>
    <w:rsid w:val="00095F45"/>
    <w:rsid w:val="00096147"/>
    <w:rsid w:val="0009652F"/>
    <w:rsid w:val="00096989"/>
    <w:rsid w:val="00096E3D"/>
    <w:rsid w:val="00097755"/>
    <w:rsid w:val="00097AEE"/>
    <w:rsid w:val="00097BCA"/>
    <w:rsid w:val="000A016F"/>
    <w:rsid w:val="000A0457"/>
    <w:rsid w:val="000A0A45"/>
    <w:rsid w:val="000A0CE9"/>
    <w:rsid w:val="000A0DBE"/>
    <w:rsid w:val="000A10FE"/>
    <w:rsid w:val="000A126E"/>
    <w:rsid w:val="000A133B"/>
    <w:rsid w:val="000A192F"/>
    <w:rsid w:val="000A281E"/>
    <w:rsid w:val="000A3A7C"/>
    <w:rsid w:val="000A3BE0"/>
    <w:rsid w:val="000A3CE3"/>
    <w:rsid w:val="000A4826"/>
    <w:rsid w:val="000A496C"/>
    <w:rsid w:val="000A4BDE"/>
    <w:rsid w:val="000A52FE"/>
    <w:rsid w:val="000A5771"/>
    <w:rsid w:val="000A5832"/>
    <w:rsid w:val="000A5D43"/>
    <w:rsid w:val="000A6704"/>
    <w:rsid w:val="000A6885"/>
    <w:rsid w:val="000A693A"/>
    <w:rsid w:val="000A7453"/>
    <w:rsid w:val="000A75F0"/>
    <w:rsid w:val="000B0117"/>
    <w:rsid w:val="000B0149"/>
    <w:rsid w:val="000B0563"/>
    <w:rsid w:val="000B0615"/>
    <w:rsid w:val="000B0928"/>
    <w:rsid w:val="000B157F"/>
    <w:rsid w:val="000B1891"/>
    <w:rsid w:val="000B2805"/>
    <w:rsid w:val="000B2967"/>
    <w:rsid w:val="000B2AC9"/>
    <w:rsid w:val="000B2CF8"/>
    <w:rsid w:val="000B3060"/>
    <w:rsid w:val="000B316F"/>
    <w:rsid w:val="000B36B3"/>
    <w:rsid w:val="000B385C"/>
    <w:rsid w:val="000B386D"/>
    <w:rsid w:val="000B38FD"/>
    <w:rsid w:val="000B3A46"/>
    <w:rsid w:val="000B3C63"/>
    <w:rsid w:val="000B3E14"/>
    <w:rsid w:val="000B54C4"/>
    <w:rsid w:val="000B558C"/>
    <w:rsid w:val="000B5C4A"/>
    <w:rsid w:val="000B6005"/>
    <w:rsid w:val="000B66C0"/>
    <w:rsid w:val="000B6D09"/>
    <w:rsid w:val="000B7481"/>
    <w:rsid w:val="000B7B7C"/>
    <w:rsid w:val="000B7EF6"/>
    <w:rsid w:val="000C0639"/>
    <w:rsid w:val="000C0E59"/>
    <w:rsid w:val="000C0F18"/>
    <w:rsid w:val="000C0F44"/>
    <w:rsid w:val="000C106B"/>
    <w:rsid w:val="000C124D"/>
    <w:rsid w:val="000C12C9"/>
    <w:rsid w:val="000C143F"/>
    <w:rsid w:val="000C15CB"/>
    <w:rsid w:val="000C18DA"/>
    <w:rsid w:val="000C19B2"/>
    <w:rsid w:val="000C212D"/>
    <w:rsid w:val="000C247D"/>
    <w:rsid w:val="000C24D3"/>
    <w:rsid w:val="000C2CD0"/>
    <w:rsid w:val="000C3520"/>
    <w:rsid w:val="000C3AAF"/>
    <w:rsid w:val="000C3B28"/>
    <w:rsid w:val="000C3F74"/>
    <w:rsid w:val="000C44D7"/>
    <w:rsid w:val="000C4696"/>
    <w:rsid w:val="000C46E1"/>
    <w:rsid w:val="000C496E"/>
    <w:rsid w:val="000C4C74"/>
    <w:rsid w:val="000C4F2A"/>
    <w:rsid w:val="000C506A"/>
    <w:rsid w:val="000C5A8E"/>
    <w:rsid w:val="000C5DBE"/>
    <w:rsid w:val="000C5F1B"/>
    <w:rsid w:val="000C65F4"/>
    <w:rsid w:val="000C6796"/>
    <w:rsid w:val="000C6E3E"/>
    <w:rsid w:val="000C7939"/>
    <w:rsid w:val="000D03AE"/>
    <w:rsid w:val="000D0407"/>
    <w:rsid w:val="000D08D6"/>
    <w:rsid w:val="000D0A54"/>
    <w:rsid w:val="000D1276"/>
    <w:rsid w:val="000D1775"/>
    <w:rsid w:val="000D17D2"/>
    <w:rsid w:val="000D1898"/>
    <w:rsid w:val="000D196C"/>
    <w:rsid w:val="000D22B3"/>
    <w:rsid w:val="000D2A87"/>
    <w:rsid w:val="000D3277"/>
    <w:rsid w:val="000D343B"/>
    <w:rsid w:val="000D372E"/>
    <w:rsid w:val="000D3807"/>
    <w:rsid w:val="000D3BE0"/>
    <w:rsid w:val="000D3C86"/>
    <w:rsid w:val="000D4875"/>
    <w:rsid w:val="000D4AA0"/>
    <w:rsid w:val="000D565B"/>
    <w:rsid w:val="000D57FF"/>
    <w:rsid w:val="000D5A88"/>
    <w:rsid w:val="000D5C57"/>
    <w:rsid w:val="000D60CC"/>
    <w:rsid w:val="000D6265"/>
    <w:rsid w:val="000D674A"/>
    <w:rsid w:val="000D6A5E"/>
    <w:rsid w:val="000D6C19"/>
    <w:rsid w:val="000D6F1C"/>
    <w:rsid w:val="000D72A7"/>
    <w:rsid w:val="000D7B3C"/>
    <w:rsid w:val="000D7D10"/>
    <w:rsid w:val="000D7F1D"/>
    <w:rsid w:val="000E065F"/>
    <w:rsid w:val="000E0DC7"/>
    <w:rsid w:val="000E0FCB"/>
    <w:rsid w:val="000E201F"/>
    <w:rsid w:val="000E223B"/>
    <w:rsid w:val="000E233B"/>
    <w:rsid w:val="000E2E8F"/>
    <w:rsid w:val="000E31E4"/>
    <w:rsid w:val="000E3266"/>
    <w:rsid w:val="000E338A"/>
    <w:rsid w:val="000E41FD"/>
    <w:rsid w:val="000E4353"/>
    <w:rsid w:val="000E43D2"/>
    <w:rsid w:val="000E453C"/>
    <w:rsid w:val="000E46D9"/>
    <w:rsid w:val="000E4B00"/>
    <w:rsid w:val="000E4C36"/>
    <w:rsid w:val="000E4D5B"/>
    <w:rsid w:val="000E558F"/>
    <w:rsid w:val="000E584C"/>
    <w:rsid w:val="000E5B4A"/>
    <w:rsid w:val="000E5BCD"/>
    <w:rsid w:val="000E5BE5"/>
    <w:rsid w:val="000E5C16"/>
    <w:rsid w:val="000E5F9D"/>
    <w:rsid w:val="000E62BD"/>
    <w:rsid w:val="000E6C26"/>
    <w:rsid w:val="000E6E20"/>
    <w:rsid w:val="000E7C57"/>
    <w:rsid w:val="000E7EC1"/>
    <w:rsid w:val="000F00EF"/>
    <w:rsid w:val="000F0EBF"/>
    <w:rsid w:val="000F1037"/>
    <w:rsid w:val="000F1DB2"/>
    <w:rsid w:val="000F1DC1"/>
    <w:rsid w:val="000F23FE"/>
    <w:rsid w:val="000F25E9"/>
    <w:rsid w:val="000F2ECC"/>
    <w:rsid w:val="000F3468"/>
    <w:rsid w:val="000F3484"/>
    <w:rsid w:val="000F3EF4"/>
    <w:rsid w:val="000F44C8"/>
    <w:rsid w:val="000F45A3"/>
    <w:rsid w:val="000F4874"/>
    <w:rsid w:val="000F4CF1"/>
    <w:rsid w:val="000F5202"/>
    <w:rsid w:val="000F52CC"/>
    <w:rsid w:val="000F5A66"/>
    <w:rsid w:val="000F5C2B"/>
    <w:rsid w:val="000F616D"/>
    <w:rsid w:val="000F6633"/>
    <w:rsid w:val="000F6985"/>
    <w:rsid w:val="000F6BE6"/>
    <w:rsid w:val="000F6D91"/>
    <w:rsid w:val="000F719A"/>
    <w:rsid w:val="000F765A"/>
    <w:rsid w:val="000F7DC4"/>
    <w:rsid w:val="000F7E2D"/>
    <w:rsid w:val="00100A13"/>
    <w:rsid w:val="00102084"/>
    <w:rsid w:val="00102143"/>
    <w:rsid w:val="001025B9"/>
    <w:rsid w:val="001026CE"/>
    <w:rsid w:val="00102F90"/>
    <w:rsid w:val="00103002"/>
    <w:rsid w:val="00103033"/>
    <w:rsid w:val="00104140"/>
    <w:rsid w:val="001042B6"/>
    <w:rsid w:val="0010466B"/>
    <w:rsid w:val="00104DF7"/>
    <w:rsid w:val="00104FF8"/>
    <w:rsid w:val="0010537B"/>
    <w:rsid w:val="0010542D"/>
    <w:rsid w:val="001060B7"/>
    <w:rsid w:val="00106746"/>
    <w:rsid w:val="001068A6"/>
    <w:rsid w:val="0010698D"/>
    <w:rsid w:val="00107356"/>
    <w:rsid w:val="001075F4"/>
    <w:rsid w:val="00107C9C"/>
    <w:rsid w:val="00107EC0"/>
    <w:rsid w:val="00110BE1"/>
    <w:rsid w:val="00110EFE"/>
    <w:rsid w:val="0011131E"/>
    <w:rsid w:val="0011160E"/>
    <w:rsid w:val="00111A95"/>
    <w:rsid w:val="00111DD2"/>
    <w:rsid w:val="00112012"/>
    <w:rsid w:val="00112C6D"/>
    <w:rsid w:val="00114413"/>
    <w:rsid w:val="00114749"/>
    <w:rsid w:val="00114885"/>
    <w:rsid w:val="001148D7"/>
    <w:rsid w:val="00115565"/>
    <w:rsid w:val="0011559D"/>
    <w:rsid w:val="001155BE"/>
    <w:rsid w:val="00115CFE"/>
    <w:rsid w:val="00116B21"/>
    <w:rsid w:val="00117822"/>
    <w:rsid w:val="00117F98"/>
    <w:rsid w:val="00120F40"/>
    <w:rsid w:val="00121292"/>
    <w:rsid w:val="00122361"/>
    <w:rsid w:val="001223DC"/>
    <w:rsid w:val="0012268F"/>
    <w:rsid w:val="00123580"/>
    <w:rsid w:val="0012392A"/>
    <w:rsid w:val="001239AB"/>
    <w:rsid w:val="001239CE"/>
    <w:rsid w:val="00123AAA"/>
    <w:rsid w:val="00124921"/>
    <w:rsid w:val="001251E7"/>
    <w:rsid w:val="001255BD"/>
    <w:rsid w:val="0012678A"/>
    <w:rsid w:val="001269C5"/>
    <w:rsid w:val="00126BD1"/>
    <w:rsid w:val="00126C52"/>
    <w:rsid w:val="001270C9"/>
    <w:rsid w:val="001272D1"/>
    <w:rsid w:val="001273CE"/>
    <w:rsid w:val="00127DC3"/>
    <w:rsid w:val="00130294"/>
    <w:rsid w:val="001308C8"/>
    <w:rsid w:val="00130A96"/>
    <w:rsid w:val="001325BF"/>
    <w:rsid w:val="001326C8"/>
    <w:rsid w:val="001328D7"/>
    <w:rsid w:val="00132E19"/>
    <w:rsid w:val="00132E21"/>
    <w:rsid w:val="0013368B"/>
    <w:rsid w:val="00133B3D"/>
    <w:rsid w:val="00133F03"/>
    <w:rsid w:val="001340D1"/>
    <w:rsid w:val="001347DD"/>
    <w:rsid w:val="00134866"/>
    <w:rsid w:val="00134DF6"/>
    <w:rsid w:val="00134E5B"/>
    <w:rsid w:val="00134EE0"/>
    <w:rsid w:val="0013524E"/>
    <w:rsid w:val="0013559E"/>
    <w:rsid w:val="00135FCF"/>
    <w:rsid w:val="001366DC"/>
    <w:rsid w:val="001372EC"/>
    <w:rsid w:val="001374AE"/>
    <w:rsid w:val="00137EC4"/>
    <w:rsid w:val="00140331"/>
    <w:rsid w:val="001404C8"/>
    <w:rsid w:val="00141BCE"/>
    <w:rsid w:val="00141D2A"/>
    <w:rsid w:val="00141DC3"/>
    <w:rsid w:val="00142A4E"/>
    <w:rsid w:val="00142C5F"/>
    <w:rsid w:val="00143600"/>
    <w:rsid w:val="00143CD1"/>
    <w:rsid w:val="0014492E"/>
    <w:rsid w:val="00144C54"/>
    <w:rsid w:val="00144CA7"/>
    <w:rsid w:val="00145182"/>
    <w:rsid w:val="0014530B"/>
    <w:rsid w:val="001458CA"/>
    <w:rsid w:val="00145E26"/>
    <w:rsid w:val="00145E2A"/>
    <w:rsid w:val="00145EFE"/>
    <w:rsid w:val="001464D8"/>
    <w:rsid w:val="001466DA"/>
    <w:rsid w:val="00146D00"/>
    <w:rsid w:val="00147560"/>
    <w:rsid w:val="001477DC"/>
    <w:rsid w:val="001478C9"/>
    <w:rsid w:val="00147CD4"/>
    <w:rsid w:val="0015004A"/>
    <w:rsid w:val="00151035"/>
    <w:rsid w:val="001510CC"/>
    <w:rsid w:val="00151100"/>
    <w:rsid w:val="001511B6"/>
    <w:rsid w:val="00151874"/>
    <w:rsid w:val="00151FB1"/>
    <w:rsid w:val="0015282B"/>
    <w:rsid w:val="00152988"/>
    <w:rsid w:val="00152A78"/>
    <w:rsid w:val="00152AB1"/>
    <w:rsid w:val="00152C7F"/>
    <w:rsid w:val="001530B9"/>
    <w:rsid w:val="00153227"/>
    <w:rsid w:val="001538B2"/>
    <w:rsid w:val="0015422E"/>
    <w:rsid w:val="00154250"/>
    <w:rsid w:val="0015447B"/>
    <w:rsid w:val="0015468D"/>
    <w:rsid w:val="00154B29"/>
    <w:rsid w:val="00154C43"/>
    <w:rsid w:val="00154C94"/>
    <w:rsid w:val="00154DD5"/>
    <w:rsid w:val="00155314"/>
    <w:rsid w:val="00155D0C"/>
    <w:rsid w:val="00155DCC"/>
    <w:rsid w:val="00157021"/>
    <w:rsid w:val="001573B4"/>
    <w:rsid w:val="00157419"/>
    <w:rsid w:val="00160349"/>
    <w:rsid w:val="00160A19"/>
    <w:rsid w:val="0016121D"/>
    <w:rsid w:val="001617E6"/>
    <w:rsid w:val="00161ACC"/>
    <w:rsid w:val="001621CA"/>
    <w:rsid w:val="00163C0B"/>
    <w:rsid w:val="00163C92"/>
    <w:rsid w:val="00163D48"/>
    <w:rsid w:val="00164134"/>
    <w:rsid w:val="0016440D"/>
    <w:rsid w:val="0016482F"/>
    <w:rsid w:val="0016484B"/>
    <w:rsid w:val="00164911"/>
    <w:rsid w:val="0016517B"/>
    <w:rsid w:val="0016554B"/>
    <w:rsid w:val="00165997"/>
    <w:rsid w:val="00165E64"/>
    <w:rsid w:val="001663FF"/>
    <w:rsid w:val="0016683C"/>
    <w:rsid w:val="0016687A"/>
    <w:rsid w:val="00166D8B"/>
    <w:rsid w:val="00166DD6"/>
    <w:rsid w:val="00167E5F"/>
    <w:rsid w:val="00167EB5"/>
    <w:rsid w:val="00167F6E"/>
    <w:rsid w:val="00170816"/>
    <w:rsid w:val="00170956"/>
    <w:rsid w:val="00170A54"/>
    <w:rsid w:val="00170F7E"/>
    <w:rsid w:val="00171B9D"/>
    <w:rsid w:val="00172033"/>
    <w:rsid w:val="00172711"/>
    <w:rsid w:val="001729FA"/>
    <w:rsid w:val="00172A27"/>
    <w:rsid w:val="00172B7B"/>
    <w:rsid w:val="00172F08"/>
    <w:rsid w:val="00173282"/>
    <w:rsid w:val="00173869"/>
    <w:rsid w:val="00173B05"/>
    <w:rsid w:val="00173C43"/>
    <w:rsid w:val="00173C9C"/>
    <w:rsid w:val="001740A3"/>
    <w:rsid w:val="00174C97"/>
    <w:rsid w:val="00174CFC"/>
    <w:rsid w:val="00174E02"/>
    <w:rsid w:val="00174EB1"/>
    <w:rsid w:val="00176350"/>
    <w:rsid w:val="00176388"/>
    <w:rsid w:val="0017694C"/>
    <w:rsid w:val="00176B9B"/>
    <w:rsid w:val="00176D81"/>
    <w:rsid w:val="0017715D"/>
    <w:rsid w:val="001774B8"/>
    <w:rsid w:val="0017755B"/>
    <w:rsid w:val="00177951"/>
    <w:rsid w:val="00177B4E"/>
    <w:rsid w:val="00177B5A"/>
    <w:rsid w:val="00177D67"/>
    <w:rsid w:val="00177EDA"/>
    <w:rsid w:val="00180953"/>
    <w:rsid w:val="00180A1F"/>
    <w:rsid w:val="00180B62"/>
    <w:rsid w:val="0018112B"/>
    <w:rsid w:val="00181B24"/>
    <w:rsid w:val="00181F64"/>
    <w:rsid w:val="00182230"/>
    <w:rsid w:val="00182362"/>
    <w:rsid w:val="00182520"/>
    <w:rsid w:val="00182B26"/>
    <w:rsid w:val="00182F5E"/>
    <w:rsid w:val="0018335B"/>
    <w:rsid w:val="001836A2"/>
    <w:rsid w:val="00183B66"/>
    <w:rsid w:val="00184680"/>
    <w:rsid w:val="00184E6C"/>
    <w:rsid w:val="00184F05"/>
    <w:rsid w:val="00185B7E"/>
    <w:rsid w:val="00185D0B"/>
    <w:rsid w:val="00185E00"/>
    <w:rsid w:val="001863E2"/>
    <w:rsid w:val="0018676C"/>
    <w:rsid w:val="00186B0F"/>
    <w:rsid w:val="00186E03"/>
    <w:rsid w:val="00187061"/>
    <w:rsid w:val="00187509"/>
    <w:rsid w:val="00190166"/>
    <w:rsid w:val="00190188"/>
    <w:rsid w:val="001905A0"/>
    <w:rsid w:val="00190EB3"/>
    <w:rsid w:val="00191495"/>
    <w:rsid w:val="0019236B"/>
    <w:rsid w:val="0019254F"/>
    <w:rsid w:val="00192607"/>
    <w:rsid w:val="00192A9E"/>
    <w:rsid w:val="00192E70"/>
    <w:rsid w:val="00193384"/>
    <w:rsid w:val="001935F8"/>
    <w:rsid w:val="00193C78"/>
    <w:rsid w:val="00194541"/>
    <w:rsid w:val="00194574"/>
    <w:rsid w:val="00194E34"/>
    <w:rsid w:val="001950CF"/>
    <w:rsid w:val="001953B5"/>
    <w:rsid w:val="0019551F"/>
    <w:rsid w:val="00195866"/>
    <w:rsid w:val="00195EDE"/>
    <w:rsid w:val="001962B4"/>
    <w:rsid w:val="00196972"/>
    <w:rsid w:val="00196AEA"/>
    <w:rsid w:val="00197440"/>
    <w:rsid w:val="00197F96"/>
    <w:rsid w:val="001A087C"/>
    <w:rsid w:val="001A088E"/>
    <w:rsid w:val="001A0B60"/>
    <w:rsid w:val="001A0C78"/>
    <w:rsid w:val="001A105B"/>
    <w:rsid w:val="001A1272"/>
    <w:rsid w:val="001A13FE"/>
    <w:rsid w:val="001A1539"/>
    <w:rsid w:val="001A15C4"/>
    <w:rsid w:val="001A26B8"/>
    <w:rsid w:val="001A273E"/>
    <w:rsid w:val="001A2C28"/>
    <w:rsid w:val="001A2D79"/>
    <w:rsid w:val="001A2E36"/>
    <w:rsid w:val="001A33C3"/>
    <w:rsid w:val="001A3E8A"/>
    <w:rsid w:val="001A3E9E"/>
    <w:rsid w:val="001A3F4F"/>
    <w:rsid w:val="001A434C"/>
    <w:rsid w:val="001A46CC"/>
    <w:rsid w:val="001A4B97"/>
    <w:rsid w:val="001A4D73"/>
    <w:rsid w:val="001A5284"/>
    <w:rsid w:val="001A55A1"/>
    <w:rsid w:val="001A5A5C"/>
    <w:rsid w:val="001A5D4D"/>
    <w:rsid w:val="001A69E0"/>
    <w:rsid w:val="001A6BDE"/>
    <w:rsid w:val="001A6D97"/>
    <w:rsid w:val="001A738D"/>
    <w:rsid w:val="001A7B64"/>
    <w:rsid w:val="001A7ECA"/>
    <w:rsid w:val="001B0326"/>
    <w:rsid w:val="001B0357"/>
    <w:rsid w:val="001B18C2"/>
    <w:rsid w:val="001B2062"/>
    <w:rsid w:val="001B21F2"/>
    <w:rsid w:val="001B259E"/>
    <w:rsid w:val="001B2970"/>
    <w:rsid w:val="001B29AD"/>
    <w:rsid w:val="001B2F62"/>
    <w:rsid w:val="001B3A0F"/>
    <w:rsid w:val="001B3D89"/>
    <w:rsid w:val="001B4098"/>
    <w:rsid w:val="001B410B"/>
    <w:rsid w:val="001B47E4"/>
    <w:rsid w:val="001B485F"/>
    <w:rsid w:val="001B487D"/>
    <w:rsid w:val="001B4D1B"/>
    <w:rsid w:val="001B4F51"/>
    <w:rsid w:val="001B546E"/>
    <w:rsid w:val="001B59A8"/>
    <w:rsid w:val="001B6107"/>
    <w:rsid w:val="001B61D8"/>
    <w:rsid w:val="001B6261"/>
    <w:rsid w:val="001B62C1"/>
    <w:rsid w:val="001B62CA"/>
    <w:rsid w:val="001B6B07"/>
    <w:rsid w:val="001B6C88"/>
    <w:rsid w:val="001B7238"/>
    <w:rsid w:val="001B75C6"/>
    <w:rsid w:val="001B77ED"/>
    <w:rsid w:val="001B7B37"/>
    <w:rsid w:val="001B7D94"/>
    <w:rsid w:val="001C051E"/>
    <w:rsid w:val="001C0C96"/>
    <w:rsid w:val="001C0DBF"/>
    <w:rsid w:val="001C0DD7"/>
    <w:rsid w:val="001C1996"/>
    <w:rsid w:val="001C1A14"/>
    <w:rsid w:val="001C1D54"/>
    <w:rsid w:val="001C20E5"/>
    <w:rsid w:val="001C271C"/>
    <w:rsid w:val="001C2838"/>
    <w:rsid w:val="001C28FF"/>
    <w:rsid w:val="001C2A8C"/>
    <w:rsid w:val="001C2B49"/>
    <w:rsid w:val="001C2BED"/>
    <w:rsid w:val="001C3567"/>
    <w:rsid w:val="001C3AFB"/>
    <w:rsid w:val="001C4C3C"/>
    <w:rsid w:val="001C5350"/>
    <w:rsid w:val="001C5782"/>
    <w:rsid w:val="001C5851"/>
    <w:rsid w:val="001C586C"/>
    <w:rsid w:val="001C5C3B"/>
    <w:rsid w:val="001C5F72"/>
    <w:rsid w:val="001C643B"/>
    <w:rsid w:val="001C66D0"/>
    <w:rsid w:val="001C6DD5"/>
    <w:rsid w:val="001C7180"/>
    <w:rsid w:val="001C73C2"/>
    <w:rsid w:val="001C7630"/>
    <w:rsid w:val="001C7983"/>
    <w:rsid w:val="001D0305"/>
    <w:rsid w:val="001D05C6"/>
    <w:rsid w:val="001D0639"/>
    <w:rsid w:val="001D0681"/>
    <w:rsid w:val="001D0C4C"/>
    <w:rsid w:val="001D1865"/>
    <w:rsid w:val="001D18FA"/>
    <w:rsid w:val="001D2535"/>
    <w:rsid w:val="001D264A"/>
    <w:rsid w:val="001D298B"/>
    <w:rsid w:val="001D34F5"/>
    <w:rsid w:val="001D393E"/>
    <w:rsid w:val="001D3FF9"/>
    <w:rsid w:val="001D4F7F"/>
    <w:rsid w:val="001D4FB9"/>
    <w:rsid w:val="001D53FC"/>
    <w:rsid w:val="001D54CD"/>
    <w:rsid w:val="001D5A7F"/>
    <w:rsid w:val="001D5FDA"/>
    <w:rsid w:val="001D6735"/>
    <w:rsid w:val="001D6BC2"/>
    <w:rsid w:val="001D6EF2"/>
    <w:rsid w:val="001D7325"/>
    <w:rsid w:val="001D75E2"/>
    <w:rsid w:val="001D788B"/>
    <w:rsid w:val="001D7E5D"/>
    <w:rsid w:val="001E0556"/>
    <w:rsid w:val="001E09F3"/>
    <w:rsid w:val="001E0BAF"/>
    <w:rsid w:val="001E1A42"/>
    <w:rsid w:val="001E201B"/>
    <w:rsid w:val="001E202C"/>
    <w:rsid w:val="001E21E7"/>
    <w:rsid w:val="001E2755"/>
    <w:rsid w:val="001E2888"/>
    <w:rsid w:val="001E2AAF"/>
    <w:rsid w:val="001E2B85"/>
    <w:rsid w:val="001E2D83"/>
    <w:rsid w:val="001E2EFB"/>
    <w:rsid w:val="001E3B56"/>
    <w:rsid w:val="001E3BFC"/>
    <w:rsid w:val="001E3CE9"/>
    <w:rsid w:val="001E4073"/>
    <w:rsid w:val="001E4CED"/>
    <w:rsid w:val="001E577B"/>
    <w:rsid w:val="001E58B6"/>
    <w:rsid w:val="001E5CBB"/>
    <w:rsid w:val="001E614C"/>
    <w:rsid w:val="001E6167"/>
    <w:rsid w:val="001E62A7"/>
    <w:rsid w:val="001E62B2"/>
    <w:rsid w:val="001E667C"/>
    <w:rsid w:val="001E6A83"/>
    <w:rsid w:val="001E7020"/>
    <w:rsid w:val="001E70F0"/>
    <w:rsid w:val="001E7341"/>
    <w:rsid w:val="001E7857"/>
    <w:rsid w:val="001E78FF"/>
    <w:rsid w:val="001E7E87"/>
    <w:rsid w:val="001E7F97"/>
    <w:rsid w:val="001F009A"/>
    <w:rsid w:val="001F0548"/>
    <w:rsid w:val="001F0625"/>
    <w:rsid w:val="001F07A5"/>
    <w:rsid w:val="001F080D"/>
    <w:rsid w:val="001F0B08"/>
    <w:rsid w:val="001F0B5B"/>
    <w:rsid w:val="001F0EB7"/>
    <w:rsid w:val="001F0F02"/>
    <w:rsid w:val="001F1064"/>
    <w:rsid w:val="001F145C"/>
    <w:rsid w:val="001F168A"/>
    <w:rsid w:val="001F1B0A"/>
    <w:rsid w:val="001F1C7F"/>
    <w:rsid w:val="001F22B9"/>
    <w:rsid w:val="001F28EA"/>
    <w:rsid w:val="001F2F8C"/>
    <w:rsid w:val="001F30C6"/>
    <w:rsid w:val="001F358B"/>
    <w:rsid w:val="001F419B"/>
    <w:rsid w:val="001F4498"/>
    <w:rsid w:val="001F44C9"/>
    <w:rsid w:val="001F49A6"/>
    <w:rsid w:val="001F4AF8"/>
    <w:rsid w:val="001F5A3C"/>
    <w:rsid w:val="001F64DB"/>
    <w:rsid w:val="001F6721"/>
    <w:rsid w:val="001F6AF1"/>
    <w:rsid w:val="001F77B4"/>
    <w:rsid w:val="001F780F"/>
    <w:rsid w:val="002000EA"/>
    <w:rsid w:val="002001E0"/>
    <w:rsid w:val="002004DC"/>
    <w:rsid w:val="002011FC"/>
    <w:rsid w:val="002012E9"/>
    <w:rsid w:val="0020148D"/>
    <w:rsid w:val="00201C01"/>
    <w:rsid w:val="002033B4"/>
    <w:rsid w:val="0020351C"/>
    <w:rsid w:val="002036B5"/>
    <w:rsid w:val="00203949"/>
    <w:rsid w:val="00203CEC"/>
    <w:rsid w:val="00203E84"/>
    <w:rsid w:val="00204444"/>
    <w:rsid w:val="002045D3"/>
    <w:rsid w:val="00204640"/>
    <w:rsid w:val="002048E9"/>
    <w:rsid w:val="00204E98"/>
    <w:rsid w:val="00204EB1"/>
    <w:rsid w:val="0020538C"/>
    <w:rsid w:val="00205533"/>
    <w:rsid w:val="00205C61"/>
    <w:rsid w:val="00205FB5"/>
    <w:rsid w:val="002063EB"/>
    <w:rsid w:val="00206456"/>
    <w:rsid w:val="002067A2"/>
    <w:rsid w:val="00207639"/>
    <w:rsid w:val="00207E8D"/>
    <w:rsid w:val="00207F86"/>
    <w:rsid w:val="00210675"/>
    <w:rsid w:val="002111B3"/>
    <w:rsid w:val="00212260"/>
    <w:rsid w:val="0021251A"/>
    <w:rsid w:val="00212587"/>
    <w:rsid w:val="0021265D"/>
    <w:rsid w:val="00212CCE"/>
    <w:rsid w:val="00213AFF"/>
    <w:rsid w:val="0021464A"/>
    <w:rsid w:val="0021491F"/>
    <w:rsid w:val="00214B25"/>
    <w:rsid w:val="00214BEE"/>
    <w:rsid w:val="00215664"/>
    <w:rsid w:val="00215C7E"/>
    <w:rsid w:val="00215E88"/>
    <w:rsid w:val="00215F7C"/>
    <w:rsid w:val="00216275"/>
    <w:rsid w:val="00216402"/>
    <w:rsid w:val="0021689C"/>
    <w:rsid w:val="0021757D"/>
    <w:rsid w:val="002177A3"/>
    <w:rsid w:val="0021788C"/>
    <w:rsid w:val="002178E2"/>
    <w:rsid w:val="00217B78"/>
    <w:rsid w:val="0022078A"/>
    <w:rsid w:val="00220A01"/>
    <w:rsid w:val="00220AE8"/>
    <w:rsid w:val="00220BF6"/>
    <w:rsid w:val="00220E96"/>
    <w:rsid w:val="00221195"/>
    <w:rsid w:val="002217C2"/>
    <w:rsid w:val="0022198F"/>
    <w:rsid w:val="00221A46"/>
    <w:rsid w:val="00221BB7"/>
    <w:rsid w:val="00221C2D"/>
    <w:rsid w:val="00221C7D"/>
    <w:rsid w:val="00221D83"/>
    <w:rsid w:val="00221EDF"/>
    <w:rsid w:val="002226A3"/>
    <w:rsid w:val="002226C3"/>
    <w:rsid w:val="00222E41"/>
    <w:rsid w:val="00222F77"/>
    <w:rsid w:val="00223192"/>
    <w:rsid w:val="00223A35"/>
    <w:rsid w:val="00223A83"/>
    <w:rsid w:val="002245A4"/>
    <w:rsid w:val="00224682"/>
    <w:rsid w:val="00224D63"/>
    <w:rsid w:val="00224F02"/>
    <w:rsid w:val="00225163"/>
    <w:rsid w:val="0022568C"/>
    <w:rsid w:val="0022603C"/>
    <w:rsid w:val="00226D5C"/>
    <w:rsid w:val="00227141"/>
    <w:rsid w:val="002273CD"/>
    <w:rsid w:val="0022782F"/>
    <w:rsid w:val="00227C20"/>
    <w:rsid w:val="00227D62"/>
    <w:rsid w:val="00227FE5"/>
    <w:rsid w:val="00230151"/>
    <w:rsid w:val="0023034D"/>
    <w:rsid w:val="00230692"/>
    <w:rsid w:val="00230A00"/>
    <w:rsid w:val="00230A14"/>
    <w:rsid w:val="00230F4E"/>
    <w:rsid w:val="0023170E"/>
    <w:rsid w:val="0023202A"/>
    <w:rsid w:val="00232CE4"/>
    <w:rsid w:val="00233009"/>
    <w:rsid w:val="002337BF"/>
    <w:rsid w:val="00233AD5"/>
    <w:rsid w:val="00233C98"/>
    <w:rsid w:val="002343DF"/>
    <w:rsid w:val="00234420"/>
    <w:rsid w:val="002344A3"/>
    <w:rsid w:val="00234650"/>
    <w:rsid w:val="00234D13"/>
    <w:rsid w:val="00235012"/>
    <w:rsid w:val="00235101"/>
    <w:rsid w:val="00235237"/>
    <w:rsid w:val="002352F5"/>
    <w:rsid w:val="00235461"/>
    <w:rsid w:val="002355DC"/>
    <w:rsid w:val="00235DF3"/>
    <w:rsid w:val="00236202"/>
    <w:rsid w:val="00236C1A"/>
    <w:rsid w:val="00236C54"/>
    <w:rsid w:val="00236E8D"/>
    <w:rsid w:val="002375E6"/>
    <w:rsid w:val="00237A5B"/>
    <w:rsid w:val="00237AC4"/>
    <w:rsid w:val="00237D1D"/>
    <w:rsid w:val="00240051"/>
    <w:rsid w:val="002400D3"/>
    <w:rsid w:val="00240627"/>
    <w:rsid w:val="00240672"/>
    <w:rsid w:val="0024121E"/>
    <w:rsid w:val="002418A2"/>
    <w:rsid w:val="00241A94"/>
    <w:rsid w:val="00242CB3"/>
    <w:rsid w:val="00243073"/>
    <w:rsid w:val="00243544"/>
    <w:rsid w:val="0024356E"/>
    <w:rsid w:val="00243795"/>
    <w:rsid w:val="002441ED"/>
    <w:rsid w:val="0024475E"/>
    <w:rsid w:val="002447AD"/>
    <w:rsid w:val="00244AD4"/>
    <w:rsid w:val="00245307"/>
    <w:rsid w:val="002472D4"/>
    <w:rsid w:val="002476CA"/>
    <w:rsid w:val="0024774C"/>
    <w:rsid w:val="002478C9"/>
    <w:rsid w:val="002505DA"/>
    <w:rsid w:val="0025080C"/>
    <w:rsid w:val="00250A49"/>
    <w:rsid w:val="002514F2"/>
    <w:rsid w:val="0025155E"/>
    <w:rsid w:val="00251FF3"/>
    <w:rsid w:val="00252263"/>
    <w:rsid w:val="00252955"/>
    <w:rsid w:val="00252A5C"/>
    <w:rsid w:val="00252C5A"/>
    <w:rsid w:val="0025314C"/>
    <w:rsid w:val="00253418"/>
    <w:rsid w:val="002536AA"/>
    <w:rsid w:val="002538E6"/>
    <w:rsid w:val="00253BB7"/>
    <w:rsid w:val="00254E6F"/>
    <w:rsid w:val="00256244"/>
    <w:rsid w:val="00256AED"/>
    <w:rsid w:val="00256BA4"/>
    <w:rsid w:val="00256F21"/>
    <w:rsid w:val="00257B54"/>
    <w:rsid w:val="00257BF5"/>
    <w:rsid w:val="00257CC6"/>
    <w:rsid w:val="0026010E"/>
    <w:rsid w:val="00260634"/>
    <w:rsid w:val="00260729"/>
    <w:rsid w:val="002618B2"/>
    <w:rsid w:val="00261C88"/>
    <w:rsid w:val="002625FD"/>
    <w:rsid w:val="00262909"/>
    <w:rsid w:val="00262B03"/>
    <w:rsid w:val="00262B14"/>
    <w:rsid w:val="00262F67"/>
    <w:rsid w:val="00263329"/>
    <w:rsid w:val="00263E25"/>
    <w:rsid w:val="00263EAD"/>
    <w:rsid w:val="00264113"/>
    <w:rsid w:val="00264875"/>
    <w:rsid w:val="00264A6E"/>
    <w:rsid w:val="00264F5D"/>
    <w:rsid w:val="002651D6"/>
    <w:rsid w:val="0026575E"/>
    <w:rsid w:val="00265CB0"/>
    <w:rsid w:val="00266066"/>
    <w:rsid w:val="00266307"/>
    <w:rsid w:val="00266CBA"/>
    <w:rsid w:val="002670CA"/>
    <w:rsid w:val="002672DB"/>
    <w:rsid w:val="0026751E"/>
    <w:rsid w:val="00267625"/>
    <w:rsid w:val="002702D2"/>
    <w:rsid w:val="00270417"/>
    <w:rsid w:val="002706B4"/>
    <w:rsid w:val="00270927"/>
    <w:rsid w:val="002709ED"/>
    <w:rsid w:val="00270CD7"/>
    <w:rsid w:val="00270CF4"/>
    <w:rsid w:val="00270E5E"/>
    <w:rsid w:val="00271006"/>
    <w:rsid w:val="00271062"/>
    <w:rsid w:val="0027134B"/>
    <w:rsid w:val="0027148E"/>
    <w:rsid w:val="00271579"/>
    <w:rsid w:val="00271773"/>
    <w:rsid w:val="00272280"/>
    <w:rsid w:val="00272C8D"/>
    <w:rsid w:val="00272CED"/>
    <w:rsid w:val="002734F4"/>
    <w:rsid w:val="002737A9"/>
    <w:rsid w:val="00274004"/>
    <w:rsid w:val="00274208"/>
    <w:rsid w:val="002743ED"/>
    <w:rsid w:val="00274422"/>
    <w:rsid w:val="0027518A"/>
    <w:rsid w:val="00275650"/>
    <w:rsid w:val="002760B5"/>
    <w:rsid w:val="00276118"/>
    <w:rsid w:val="002764E2"/>
    <w:rsid w:val="0027658E"/>
    <w:rsid w:val="002769C9"/>
    <w:rsid w:val="00276FE3"/>
    <w:rsid w:val="00277032"/>
    <w:rsid w:val="002772DE"/>
    <w:rsid w:val="002778A6"/>
    <w:rsid w:val="00277D68"/>
    <w:rsid w:val="00277DC0"/>
    <w:rsid w:val="0028043E"/>
    <w:rsid w:val="0028090F"/>
    <w:rsid w:val="00281261"/>
    <w:rsid w:val="002812C1"/>
    <w:rsid w:val="002814CB"/>
    <w:rsid w:val="00282387"/>
    <w:rsid w:val="0028251E"/>
    <w:rsid w:val="00282AA4"/>
    <w:rsid w:val="00282DA4"/>
    <w:rsid w:val="00282DEF"/>
    <w:rsid w:val="002838E9"/>
    <w:rsid w:val="0028417C"/>
    <w:rsid w:val="002849C2"/>
    <w:rsid w:val="00284D67"/>
    <w:rsid w:val="00284EBF"/>
    <w:rsid w:val="00285146"/>
    <w:rsid w:val="00285180"/>
    <w:rsid w:val="0028518C"/>
    <w:rsid w:val="00285241"/>
    <w:rsid w:val="00285649"/>
    <w:rsid w:val="002857C4"/>
    <w:rsid w:val="00285A59"/>
    <w:rsid w:val="00285F69"/>
    <w:rsid w:val="002860F8"/>
    <w:rsid w:val="002861FB"/>
    <w:rsid w:val="00286C3F"/>
    <w:rsid w:val="00287481"/>
    <w:rsid w:val="00290202"/>
    <w:rsid w:val="00290E4E"/>
    <w:rsid w:val="002912E4"/>
    <w:rsid w:val="00291431"/>
    <w:rsid w:val="002914D8"/>
    <w:rsid w:val="00291893"/>
    <w:rsid w:val="002918FE"/>
    <w:rsid w:val="00291F97"/>
    <w:rsid w:val="0029219B"/>
    <w:rsid w:val="002921B6"/>
    <w:rsid w:val="002922D1"/>
    <w:rsid w:val="002930CF"/>
    <w:rsid w:val="00293E5E"/>
    <w:rsid w:val="00293ED0"/>
    <w:rsid w:val="00293F05"/>
    <w:rsid w:val="002946DB"/>
    <w:rsid w:val="00294776"/>
    <w:rsid w:val="00294D16"/>
    <w:rsid w:val="0029528D"/>
    <w:rsid w:val="0029579D"/>
    <w:rsid w:val="00295C42"/>
    <w:rsid w:val="002962DB"/>
    <w:rsid w:val="00296784"/>
    <w:rsid w:val="00296A85"/>
    <w:rsid w:val="002972B3"/>
    <w:rsid w:val="00297320"/>
    <w:rsid w:val="00297322"/>
    <w:rsid w:val="00297400"/>
    <w:rsid w:val="002975BB"/>
    <w:rsid w:val="002976BA"/>
    <w:rsid w:val="00297B94"/>
    <w:rsid w:val="002A031C"/>
    <w:rsid w:val="002A0854"/>
    <w:rsid w:val="002A113A"/>
    <w:rsid w:val="002A1DAC"/>
    <w:rsid w:val="002A20B9"/>
    <w:rsid w:val="002A23E3"/>
    <w:rsid w:val="002A2AD7"/>
    <w:rsid w:val="002A2C65"/>
    <w:rsid w:val="002A2F42"/>
    <w:rsid w:val="002A2F7C"/>
    <w:rsid w:val="002A2FB6"/>
    <w:rsid w:val="002A3363"/>
    <w:rsid w:val="002A3560"/>
    <w:rsid w:val="002A39C1"/>
    <w:rsid w:val="002A3A9D"/>
    <w:rsid w:val="002A3E17"/>
    <w:rsid w:val="002A435C"/>
    <w:rsid w:val="002A51EE"/>
    <w:rsid w:val="002A592E"/>
    <w:rsid w:val="002A67E9"/>
    <w:rsid w:val="002A6D78"/>
    <w:rsid w:val="002A720C"/>
    <w:rsid w:val="002A777F"/>
    <w:rsid w:val="002A78C7"/>
    <w:rsid w:val="002A7AAB"/>
    <w:rsid w:val="002A7BE1"/>
    <w:rsid w:val="002A7F76"/>
    <w:rsid w:val="002B0909"/>
    <w:rsid w:val="002B0E9D"/>
    <w:rsid w:val="002B12B8"/>
    <w:rsid w:val="002B19A8"/>
    <w:rsid w:val="002B2228"/>
    <w:rsid w:val="002B2A85"/>
    <w:rsid w:val="002B2BFD"/>
    <w:rsid w:val="002B2D5B"/>
    <w:rsid w:val="002B3411"/>
    <w:rsid w:val="002B3740"/>
    <w:rsid w:val="002B42EC"/>
    <w:rsid w:val="002B4667"/>
    <w:rsid w:val="002B46EC"/>
    <w:rsid w:val="002B487F"/>
    <w:rsid w:val="002B4A05"/>
    <w:rsid w:val="002B4A6C"/>
    <w:rsid w:val="002B4C8F"/>
    <w:rsid w:val="002B51C6"/>
    <w:rsid w:val="002B51E4"/>
    <w:rsid w:val="002B59C7"/>
    <w:rsid w:val="002B606F"/>
    <w:rsid w:val="002B62DE"/>
    <w:rsid w:val="002B6393"/>
    <w:rsid w:val="002B6BE8"/>
    <w:rsid w:val="002B727F"/>
    <w:rsid w:val="002B7470"/>
    <w:rsid w:val="002B774F"/>
    <w:rsid w:val="002B7C05"/>
    <w:rsid w:val="002C007D"/>
    <w:rsid w:val="002C00A5"/>
    <w:rsid w:val="002C0861"/>
    <w:rsid w:val="002C0A96"/>
    <w:rsid w:val="002C102D"/>
    <w:rsid w:val="002C13BD"/>
    <w:rsid w:val="002C15D1"/>
    <w:rsid w:val="002C1F7A"/>
    <w:rsid w:val="002C22EF"/>
    <w:rsid w:val="002C263D"/>
    <w:rsid w:val="002C29FC"/>
    <w:rsid w:val="002C2D33"/>
    <w:rsid w:val="002C2FF6"/>
    <w:rsid w:val="002C3337"/>
    <w:rsid w:val="002C3467"/>
    <w:rsid w:val="002C3A58"/>
    <w:rsid w:val="002C406A"/>
    <w:rsid w:val="002C4316"/>
    <w:rsid w:val="002C4F10"/>
    <w:rsid w:val="002C53BD"/>
    <w:rsid w:val="002C545C"/>
    <w:rsid w:val="002C5467"/>
    <w:rsid w:val="002C5CA9"/>
    <w:rsid w:val="002C631C"/>
    <w:rsid w:val="002C6413"/>
    <w:rsid w:val="002C64A2"/>
    <w:rsid w:val="002C6A0A"/>
    <w:rsid w:val="002C710B"/>
    <w:rsid w:val="002C71D2"/>
    <w:rsid w:val="002C7D73"/>
    <w:rsid w:val="002D0253"/>
    <w:rsid w:val="002D070A"/>
    <w:rsid w:val="002D09C8"/>
    <w:rsid w:val="002D09D4"/>
    <w:rsid w:val="002D0F33"/>
    <w:rsid w:val="002D150B"/>
    <w:rsid w:val="002D1D09"/>
    <w:rsid w:val="002D20C0"/>
    <w:rsid w:val="002D228E"/>
    <w:rsid w:val="002D244A"/>
    <w:rsid w:val="002D2711"/>
    <w:rsid w:val="002D2E17"/>
    <w:rsid w:val="002D2ECB"/>
    <w:rsid w:val="002D2EDC"/>
    <w:rsid w:val="002D2FE0"/>
    <w:rsid w:val="002D3265"/>
    <w:rsid w:val="002D3747"/>
    <w:rsid w:val="002D38C5"/>
    <w:rsid w:val="002D39F3"/>
    <w:rsid w:val="002D3DA6"/>
    <w:rsid w:val="002D3EBE"/>
    <w:rsid w:val="002D3F27"/>
    <w:rsid w:val="002D4001"/>
    <w:rsid w:val="002D4072"/>
    <w:rsid w:val="002D45EC"/>
    <w:rsid w:val="002D4916"/>
    <w:rsid w:val="002D4E26"/>
    <w:rsid w:val="002D4F5B"/>
    <w:rsid w:val="002D55A3"/>
    <w:rsid w:val="002D5A48"/>
    <w:rsid w:val="002D5DF9"/>
    <w:rsid w:val="002D5F55"/>
    <w:rsid w:val="002D6357"/>
    <w:rsid w:val="002D67C8"/>
    <w:rsid w:val="002D6974"/>
    <w:rsid w:val="002D7D0D"/>
    <w:rsid w:val="002D7E87"/>
    <w:rsid w:val="002E01A2"/>
    <w:rsid w:val="002E0F95"/>
    <w:rsid w:val="002E16C3"/>
    <w:rsid w:val="002E1F42"/>
    <w:rsid w:val="002E20F2"/>
    <w:rsid w:val="002E26B1"/>
    <w:rsid w:val="002E295D"/>
    <w:rsid w:val="002E2CFB"/>
    <w:rsid w:val="002E2EB1"/>
    <w:rsid w:val="002E2F27"/>
    <w:rsid w:val="002E3952"/>
    <w:rsid w:val="002E3AA8"/>
    <w:rsid w:val="002E3CA5"/>
    <w:rsid w:val="002E3F75"/>
    <w:rsid w:val="002E4647"/>
    <w:rsid w:val="002E494E"/>
    <w:rsid w:val="002E4B2F"/>
    <w:rsid w:val="002E4F2C"/>
    <w:rsid w:val="002E4F40"/>
    <w:rsid w:val="002E4F8C"/>
    <w:rsid w:val="002E557C"/>
    <w:rsid w:val="002E589B"/>
    <w:rsid w:val="002E5A36"/>
    <w:rsid w:val="002E5B2F"/>
    <w:rsid w:val="002E6804"/>
    <w:rsid w:val="002E6C2F"/>
    <w:rsid w:val="002E6CAF"/>
    <w:rsid w:val="002E6D50"/>
    <w:rsid w:val="002E711B"/>
    <w:rsid w:val="002E7744"/>
    <w:rsid w:val="002E7D12"/>
    <w:rsid w:val="002F0231"/>
    <w:rsid w:val="002F05E0"/>
    <w:rsid w:val="002F10D9"/>
    <w:rsid w:val="002F15C4"/>
    <w:rsid w:val="002F1747"/>
    <w:rsid w:val="002F1774"/>
    <w:rsid w:val="002F1A5D"/>
    <w:rsid w:val="002F1D0B"/>
    <w:rsid w:val="002F1E7A"/>
    <w:rsid w:val="002F268D"/>
    <w:rsid w:val="002F2EDA"/>
    <w:rsid w:val="002F31AC"/>
    <w:rsid w:val="002F3A6F"/>
    <w:rsid w:val="002F3E92"/>
    <w:rsid w:val="002F3EC5"/>
    <w:rsid w:val="002F41BF"/>
    <w:rsid w:val="002F4769"/>
    <w:rsid w:val="002F5907"/>
    <w:rsid w:val="002F5A7D"/>
    <w:rsid w:val="002F5AC4"/>
    <w:rsid w:val="002F6074"/>
    <w:rsid w:val="002F6278"/>
    <w:rsid w:val="002F6879"/>
    <w:rsid w:val="002F7D25"/>
    <w:rsid w:val="002F7DD6"/>
    <w:rsid w:val="00300258"/>
    <w:rsid w:val="003009A0"/>
    <w:rsid w:val="003009B1"/>
    <w:rsid w:val="00300AE9"/>
    <w:rsid w:val="00300BF2"/>
    <w:rsid w:val="00300E07"/>
    <w:rsid w:val="00301151"/>
    <w:rsid w:val="003015CD"/>
    <w:rsid w:val="00301BC8"/>
    <w:rsid w:val="00302366"/>
    <w:rsid w:val="00302421"/>
    <w:rsid w:val="003029DB"/>
    <w:rsid w:val="0030344F"/>
    <w:rsid w:val="00303D32"/>
    <w:rsid w:val="00303D72"/>
    <w:rsid w:val="00303E4E"/>
    <w:rsid w:val="003041DB"/>
    <w:rsid w:val="0030492A"/>
    <w:rsid w:val="00304BD8"/>
    <w:rsid w:val="00304EEC"/>
    <w:rsid w:val="0030532A"/>
    <w:rsid w:val="00305C10"/>
    <w:rsid w:val="00305F24"/>
    <w:rsid w:val="00305FEF"/>
    <w:rsid w:val="00306888"/>
    <w:rsid w:val="00306BCF"/>
    <w:rsid w:val="003075C4"/>
    <w:rsid w:val="00307B8A"/>
    <w:rsid w:val="00307C09"/>
    <w:rsid w:val="00307CDA"/>
    <w:rsid w:val="00307D02"/>
    <w:rsid w:val="00310568"/>
    <w:rsid w:val="00310634"/>
    <w:rsid w:val="00310694"/>
    <w:rsid w:val="00310D5B"/>
    <w:rsid w:val="00310E0B"/>
    <w:rsid w:val="003112A7"/>
    <w:rsid w:val="003113E0"/>
    <w:rsid w:val="0031156B"/>
    <w:rsid w:val="0031156C"/>
    <w:rsid w:val="003117E2"/>
    <w:rsid w:val="003120B5"/>
    <w:rsid w:val="00312AC3"/>
    <w:rsid w:val="00312C0C"/>
    <w:rsid w:val="00313591"/>
    <w:rsid w:val="003136E5"/>
    <w:rsid w:val="0031397D"/>
    <w:rsid w:val="00313C7F"/>
    <w:rsid w:val="00313EE9"/>
    <w:rsid w:val="003145A5"/>
    <w:rsid w:val="00314B22"/>
    <w:rsid w:val="00314C9D"/>
    <w:rsid w:val="00314CC5"/>
    <w:rsid w:val="003150D7"/>
    <w:rsid w:val="00315205"/>
    <w:rsid w:val="00315218"/>
    <w:rsid w:val="00315289"/>
    <w:rsid w:val="00316ABE"/>
    <w:rsid w:val="00316B81"/>
    <w:rsid w:val="00316E21"/>
    <w:rsid w:val="0031766C"/>
    <w:rsid w:val="0031768B"/>
    <w:rsid w:val="003200A0"/>
    <w:rsid w:val="003211D7"/>
    <w:rsid w:val="00321C03"/>
    <w:rsid w:val="00321CA5"/>
    <w:rsid w:val="00321DD8"/>
    <w:rsid w:val="00321FDF"/>
    <w:rsid w:val="003227EE"/>
    <w:rsid w:val="0032292B"/>
    <w:rsid w:val="00322991"/>
    <w:rsid w:val="003235FD"/>
    <w:rsid w:val="00324423"/>
    <w:rsid w:val="003244B1"/>
    <w:rsid w:val="003250E2"/>
    <w:rsid w:val="0032522F"/>
    <w:rsid w:val="0032555E"/>
    <w:rsid w:val="00325732"/>
    <w:rsid w:val="00325984"/>
    <w:rsid w:val="00325A13"/>
    <w:rsid w:val="00326788"/>
    <w:rsid w:val="00326C77"/>
    <w:rsid w:val="00326EB3"/>
    <w:rsid w:val="003272CD"/>
    <w:rsid w:val="003278E0"/>
    <w:rsid w:val="00327DC4"/>
    <w:rsid w:val="00327EA6"/>
    <w:rsid w:val="003303C9"/>
    <w:rsid w:val="003307F6"/>
    <w:rsid w:val="00330895"/>
    <w:rsid w:val="00330A09"/>
    <w:rsid w:val="00331C8D"/>
    <w:rsid w:val="00331D10"/>
    <w:rsid w:val="00332174"/>
    <w:rsid w:val="00332ADC"/>
    <w:rsid w:val="00332C56"/>
    <w:rsid w:val="003332B0"/>
    <w:rsid w:val="003333C2"/>
    <w:rsid w:val="00333785"/>
    <w:rsid w:val="00334577"/>
    <w:rsid w:val="00334D9C"/>
    <w:rsid w:val="00334D9F"/>
    <w:rsid w:val="00334EB8"/>
    <w:rsid w:val="0033535C"/>
    <w:rsid w:val="00335801"/>
    <w:rsid w:val="0033585D"/>
    <w:rsid w:val="003358DB"/>
    <w:rsid w:val="00335C49"/>
    <w:rsid w:val="00336FA1"/>
    <w:rsid w:val="0033700D"/>
    <w:rsid w:val="003372D1"/>
    <w:rsid w:val="0034038A"/>
    <w:rsid w:val="00340419"/>
    <w:rsid w:val="003404D7"/>
    <w:rsid w:val="003407B0"/>
    <w:rsid w:val="00340BFC"/>
    <w:rsid w:val="00341B8B"/>
    <w:rsid w:val="00342284"/>
    <w:rsid w:val="003430EA"/>
    <w:rsid w:val="003431E9"/>
    <w:rsid w:val="0034446A"/>
    <w:rsid w:val="00344586"/>
    <w:rsid w:val="00344C2A"/>
    <w:rsid w:val="00345295"/>
    <w:rsid w:val="00345817"/>
    <w:rsid w:val="00345895"/>
    <w:rsid w:val="00345A8A"/>
    <w:rsid w:val="00345C0C"/>
    <w:rsid w:val="003465AC"/>
    <w:rsid w:val="00346667"/>
    <w:rsid w:val="00346680"/>
    <w:rsid w:val="003467E8"/>
    <w:rsid w:val="00346F31"/>
    <w:rsid w:val="00347450"/>
    <w:rsid w:val="00347777"/>
    <w:rsid w:val="00347D2F"/>
    <w:rsid w:val="0035023D"/>
    <w:rsid w:val="00350934"/>
    <w:rsid w:val="00350EAE"/>
    <w:rsid w:val="003519E1"/>
    <w:rsid w:val="00351AFF"/>
    <w:rsid w:val="00351CFA"/>
    <w:rsid w:val="00352228"/>
    <w:rsid w:val="00352A25"/>
    <w:rsid w:val="00352B70"/>
    <w:rsid w:val="00353313"/>
    <w:rsid w:val="00353852"/>
    <w:rsid w:val="003539FC"/>
    <w:rsid w:val="00353D08"/>
    <w:rsid w:val="00353FBB"/>
    <w:rsid w:val="00354231"/>
    <w:rsid w:val="0035472D"/>
    <w:rsid w:val="00354851"/>
    <w:rsid w:val="00354AF5"/>
    <w:rsid w:val="00354DEE"/>
    <w:rsid w:val="00355847"/>
    <w:rsid w:val="003559D5"/>
    <w:rsid w:val="00355D69"/>
    <w:rsid w:val="0035609D"/>
    <w:rsid w:val="00356783"/>
    <w:rsid w:val="00356E10"/>
    <w:rsid w:val="00356FDB"/>
    <w:rsid w:val="003574E6"/>
    <w:rsid w:val="00357C8F"/>
    <w:rsid w:val="00357F0B"/>
    <w:rsid w:val="0036066F"/>
    <w:rsid w:val="00361068"/>
    <w:rsid w:val="00361E28"/>
    <w:rsid w:val="00361E67"/>
    <w:rsid w:val="00361F7F"/>
    <w:rsid w:val="003629B8"/>
    <w:rsid w:val="0036307F"/>
    <w:rsid w:val="00363229"/>
    <w:rsid w:val="0036357D"/>
    <w:rsid w:val="003635B4"/>
    <w:rsid w:val="00363A01"/>
    <w:rsid w:val="00363C3D"/>
    <w:rsid w:val="00363FAA"/>
    <w:rsid w:val="003644ED"/>
    <w:rsid w:val="0036480C"/>
    <w:rsid w:val="00364F81"/>
    <w:rsid w:val="00365B20"/>
    <w:rsid w:val="00365FFB"/>
    <w:rsid w:val="00366E08"/>
    <w:rsid w:val="003673E7"/>
    <w:rsid w:val="00367ABF"/>
    <w:rsid w:val="00367F0C"/>
    <w:rsid w:val="0037016B"/>
    <w:rsid w:val="00370379"/>
    <w:rsid w:val="0037056E"/>
    <w:rsid w:val="00370588"/>
    <w:rsid w:val="00370B7C"/>
    <w:rsid w:val="00370F83"/>
    <w:rsid w:val="003712C5"/>
    <w:rsid w:val="00371579"/>
    <w:rsid w:val="003719E5"/>
    <w:rsid w:val="00371E31"/>
    <w:rsid w:val="00371EB5"/>
    <w:rsid w:val="00372857"/>
    <w:rsid w:val="00372BA6"/>
    <w:rsid w:val="003734A8"/>
    <w:rsid w:val="003734EB"/>
    <w:rsid w:val="00373523"/>
    <w:rsid w:val="0037402F"/>
    <w:rsid w:val="003741B5"/>
    <w:rsid w:val="003742B1"/>
    <w:rsid w:val="003746B0"/>
    <w:rsid w:val="003749DA"/>
    <w:rsid w:val="00375558"/>
    <w:rsid w:val="00375646"/>
    <w:rsid w:val="003760DF"/>
    <w:rsid w:val="00376328"/>
    <w:rsid w:val="00376585"/>
    <w:rsid w:val="003768DC"/>
    <w:rsid w:val="00376C16"/>
    <w:rsid w:val="00376C5F"/>
    <w:rsid w:val="0038002E"/>
    <w:rsid w:val="00380A0E"/>
    <w:rsid w:val="00380E56"/>
    <w:rsid w:val="00380E6A"/>
    <w:rsid w:val="00380E8A"/>
    <w:rsid w:val="003813E2"/>
    <w:rsid w:val="003821BC"/>
    <w:rsid w:val="003832F8"/>
    <w:rsid w:val="003836B3"/>
    <w:rsid w:val="0038381C"/>
    <w:rsid w:val="003838BB"/>
    <w:rsid w:val="0038447F"/>
    <w:rsid w:val="00384668"/>
    <w:rsid w:val="00384735"/>
    <w:rsid w:val="00384C82"/>
    <w:rsid w:val="00384D1B"/>
    <w:rsid w:val="003851BF"/>
    <w:rsid w:val="003859E2"/>
    <w:rsid w:val="00385D2F"/>
    <w:rsid w:val="0038609C"/>
    <w:rsid w:val="003863D5"/>
    <w:rsid w:val="003864A2"/>
    <w:rsid w:val="00386DDB"/>
    <w:rsid w:val="0038702F"/>
    <w:rsid w:val="00391266"/>
    <w:rsid w:val="0039190A"/>
    <w:rsid w:val="00392184"/>
    <w:rsid w:val="003922B4"/>
    <w:rsid w:val="003923B4"/>
    <w:rsid w:val="003928B6"/>
    <w:rsid w:val="00392C3B"/>
    <w:rsid w:val="0039306F"/>
    <w:rsid w:val="00393217"/>
    <w:rsid w:val="003937BE"/>
    <w:rsid w:val="00393DA5"/>
    <w:rsid w:val="00393E34"/>
    <w:rsid w:val="00394847"/>
    <w:rsid w:val="00394CA4"/>
    <w:rsid w:val="00394EF0"/>
    <w:rsid w:val="00395612"/>
    <w:rsid w:val="00396741"/>
    <w:rsid w:val="0039674A"/>
    <w:rsid w:val="00396A83"/>
    <w:rsid w:val="003972D7"/>
    <w:rsid w:val="0039773C"/>
    <w:rsid w:val="00397E62"/>
    <w:rsid w:val="003A0BB5"/>
    <w:rsid w:val="003A155A"/>
    <w:rsid w:val="003A1A2E"/>
    <w:rsid w:val="003A1E59"/>
    <w:rsid w:val="003A3A99"/>
    <w:rsid w:val="003A3BA2"/>
    <w:rsid w:val="003A41BE"/>
    <w:rsid w:val="003A489D"/>
    <w:rsid w:val="003A49FE"/>
    <w:rsid w:val="003A5143"/>
    <w:rsid w:val="003A55F4"/>
    <w:rsid w:val="003A5661"/>
    <w:rsid w:val="003A5BC8"/>
    <w:rsid w:val="003A5C68"/>
    <w:rsid w:val="003A5E0F"/>
    <w:rsid w:val="003A5E3A"/>
    <w:rsid w:val="003A62F3"/>
    <w:rsid w:val="003A72B3"/>
    <w:rsid w:val="003A7C55"/>
    <w:rsid w:val="003B0107"/>
    <w:rsid w:val="003B0538"/>
    <w:rsid w:val="003B095A"/>
    <w:rsid w:val="003B0B37"/>
    <w:rsid w:val="003B0E96"/>
    <w:rsid w:val="003B117F"/>
    <w:rsid w:val="003B1A37"/>
    <w:rsid w:val="003B23FB"/>
    <w:rsid w:val="003B240A"/>
    <w:rsid w:val="003B281E"/>
    <w:rsid w:val="003B29EC"/>
    <w:rsid w:val="003B2EFD"/>
    <w:rsid w:val="003B393A"/>
    <w:rsid w:val="003B3F8F"/>
    <w:rsid w:val="003B4019"/>
    <w:rsid w:val="003B41E6"/>
    <w:rsid w:val="003B4750"/>
    <w:rsid w:val="003B49CD"/>
    <w:rsid w:val="003B4E02"/>
    <w:rsid w:val="003B4E54"/>
    <w:rsid w:val="003B5260"/>
    <w:rsid w:val="003B52F1"/>
    <w:rsid w:val="003B5371"/>
    <w:rsid w:val="003B5A76"/>
    <w:rsid w:val="003B5AB3"/>
    <w:rsid w:val="003B668F"/>
    <w:rsid w:val="003B681E"/>
    <w:rsid w:val="003B6E80"/>
    <w:rsid w:val="003B72E7"/>
    <w:rsid w:val="003B77A0"/>
    <w:rsid w:val="003B7A6C"/>
    <w:rsid w:val="003B7CFF"/>
    <w:rsid w:val="003C01C4"/>
    <w:rsid w:val="003C02EB"/>
    <w:rsid w:val="003C0B9E"/>
    <w:rsid w:val="003C0CBC"/>
    <w:rsid w:val="003C1026"/>
    <w:rsid w:val="003C127F"/>
    <w:rsid w:val="003C159C"/>
    <w:rsid w:val="003C22D4"/>
    <w:rsid w:val="003C2E2E"/>
    <w:rsid w:val="003C33ED"/>
    <w:rsid w:val="003C3C3F"/>
    <w:rsid w:val="003C4151"/>
    <w:rsid w:val="003C470F"/>
    <w:rsid w:val="003C4824"/>
    <w:rsid w:val="003C4CE9"/>
    <w:rsid w:val="003C520F"/>
    <w:rsid w:val="003C550B"/>
    <w:rsid w:val="003C56F1"/>
    <w:rsid w:val="003C5796"/>
    <w:rsid w:val="003C5B84"/>
    <w:rsid w:val="003C6252"/>
    <w:rsid w:val="003C6BE9"/>
    <w:rsid w:val="003C6C3E"/>
    <w:rsid w:val="003C6D1A"/>
    <w:rsid w:val="003C6E61"/>
    <w:rsid w:val="003C6EEA"/>
    <w:rsid w:val="003C72AD"/>
    <w:rsid w:val="003C74BE"/>
    <w:rsid w:val="003C78C1"/>
    <w:rsid w:val="003C793F"/>
    <w:rsid w:val="003C7BCB"/>
    <w:rsid w:val="003C7D31"/>
    <w:rsid w:val="003C7E81"/>
    <w:rsid w:val="003D039C"/>
    <w:rsid w:val="003D03D0"/>
    <w:rsid w:val="003D08A7"/>
    <w:rsid w:val="003D0B61"/>
    <w:rsid w:val="003D0DA4"/>
    <w:rsid w:val="003D1193"/>
    <w:rsid w:val="003D13B1"/>
    <w:rsid w:val="003D17D6"/>
    <w:rsid w:val="003D25BA"/>
    <w:rsid w:val="003D2952"/>
    <w:rsid w:val="003D326B"/>
    <w:rsid w:val="003D3962"/>
    <w:rsid w:val="003D3B88"/>
    <w:rsid w:val="003D4B41"/>
    <w:rsid w:val="003D4F75"/>
    <w:rsid w:val="003D4FF9"/>
    <w:rsid w:val="003D5610"/>
    <w:rsid w:val="003D5863"/>
    <w:rsid w:val="003D5A0F"/>
    <w:rsid w:val="003D5C9C"/>
    <w:rsid w:val="003D63ED"/>
    <w:rsid w:val="003D6A3E"/>
    <w:rsid w:val="003D6D67"/>
    <w:rsid w:val="003D6EC4"/>
    <w:rsid w:val="003D7533"/>
    <w:rsid w:val="003E02F8"/>
    <w:rsid w:val="003E0653"/>
    <w:rsid w:val="003E0D56"/>
    <w:rsid w:val="003E0D94"/>
    <w:rsid w:val="003E1440"/>
    <w:rsid w:val="003E179C"/>
    <w:rsid w:val="003E17FB"/>
    <w:rsid w:val="003E18DC"/>
    <w:rsid w:val="003E1CEA"/>
    <w:rsid w:val="003E2052"/>
    <w:rsid w:val="003E2909"/>
    <w:rsid w:val="003E2DA2"/>
    <w:rsid w:val="003E34F9"/>
    <w:rsid w:val="003E3856"/>
    <w:rsid w:val="003E3A1F"/>
    <w:rsid w:val="003E3B9A"/>
    <w:rsid w:val="003E3C79"/>
    <w:rsid w:val="003E3F69"/>
    <w:rsid w:val="003E403D"/>
    <w:rsid w:val="003E428A"/>
    <w:rsid w:val="003E4CAD"/>
    <w:rsid w:val="003E5409"/>
    <w:rsid w:val="003E689C"/>
    <w:rsid w:val="003E6A8F"/>
    <w:rsid w:val="003E7915"/>
    <w:rsid w:val="003E7AA9"/>
    <w:rsid w:val="003F01E5"/>
    <w:rsid w:val="003F051B"/>
    <w:rsid w:val="003F0667"/>
    <w:rsid w:val="003F07E2"/>
    <w:rsid w:val="003F0CB9"/>
    <w:rsid w:val="003F1A12"/>
    <w:rsid w:val="003F1A8C"/>
    <w:rsid w:val="003F22F0"/>
    <w:rsid w:val="003F23D2"/>
    <w:rsid w:val="003F2AED"/>
    <w:rsid w:val="003F30D8"/>
    <w:rsid w:val="003F33D2"/>
    <w:rsid w:val="003F3519"/>
    <w:rsid w:val="003F3E4D"/>
    <w:rsid w:val="003F3FCB"/>
    <w:rsid w:val="003F4506"/>
    <w:rsid w:val="003F506A"/>
    <w:rsid w:val="003F52E0"/>
    <w:rsid w:val="003F5FFD"/>
    <w:rsid w:val="003F6959"/>
    <w:rsid w:val="003F6BCC"/>
    <w:rsid w:val="003F7054"/>
    <w:rsid w:val="003F705A"/>
    <w:rsid w:val="003F7555"/>
    <w:rsid w:val="003F7B32"/>
    <w:rsid w:val="003F7B5B"/>
    <w:rsid w:val="003F7CBC"/>
    <w:rsid w:val="00400506"/>
    <w:rsid w:val="004005B2"/>
    <w:rsid w:val="0040123D"/>
    <w:rsid w:val="004012EF"/>
    <w:rsid w:val="004014FC"/>
    <w:rsid w:val="004016A7"/>
    <w:rsid w:val="0040217E"/>
    <w:rsid w:val="00402DF8"/>
    <w:rsid w:val="0040389D"/>
    <w:rsid w:val="004038F0"/>
    <w:rsid w:val="00403FAF"/>
    <w:rsid w:val="0040431D"/>
    <w:rsid w:val="00404585"/>
    <w:rsid w:val="00404AAC"/>
    <w:rsid w:val="00404F5A"/>
    <w:rsid w:val="004056A7"/>
    <w:rsid w:val="004059F9"/>
    <w:rsid w:val="00405AAA"/>
    <w:rsid w:val="00405D24"/>
    <w:rsid w:val="004062DD"/>
    <w:rsid w:val="004065E2"/>
    <w:rsid w:val="00406600"/>
    <w:rsid w:val="004066BF"/>
    <w:rsid w:val="004067B7"/>
    <w:rsid w:val="00407B4F"/>
    <w:rsid w:val="00407C35"/>
    <w:rsid w:val="00407F89"/>
    <w:rsid w:val="00410395"/>
    <w:rsid w:val="0041082E"/>
    <w:rsid w:val="004109B0"/>
    <w:rsid w:val="004109DF"/>
    <w:rsid w:val="00411C9C"/>
    <w:rsid w:val="00411CB7"/>
    <w:rsid w:val="00411F58"/>
    <w:rsid w:val="0041264A"/>
    <w:rsid w:val="004126AD"/>
    <w:rsid w:val="00412A1E"/>
    <w:rsid w:val="00412B54"/>
    <w:rsid w:val="00413155"/>
    <w:rsid w:val="0041338E"/>
    <w:rsid w:val="004138C2"/>
    <w:rsid w:val="00414C0D"/>
    <w:rsid w:val="0041513D"/>
    <w:rsid w:val="00415594"/>
    <w:rsid w:val="00415ADA"/>
    <w:rsid w:val="00416001"/>
    <w:rsid w:val="00416331"/>
    <w:rsid w:val="004164AE"/>
    <w:rsid w:val="00416B4A"/>
    <w:rsid w:val="00416F78"/>
    <w:rsid w:val="00417342"/>
    <w:rsid w:val="0041737F"/>
    <w:rsid w:val="00417953"/>
    <w:rsid w:val="004179B2"/>
    <w:rsid w:val="00420143"/>
    <w:rsid w:val="004207F4"/>
    <w:rsid w:val="00420C05"/>
    <w:rsid w:val="00420C49"/>
    <w:rsid w:val="004210F4"/>
    <w:rsid w:val="00421312"/>
    <w:rsid w:val="004216AB"/>
    <w:rsid w:val="00421AD6"/>
    <w:rsid w:val="004225DF"/>
    <w:rsid w:val="0042273D"/>
    <w:rsid w:val="00422B82"/>
    <w:rsid w:val="00423079"/>
    <w:rsid w:val="00424205"/>
    <w:rsid w:val="00424652"/>
    <w:rsid w:val="0042484B"/>
    <w:rsid w:val="00424A54"/>
    <w:rsid w:val="00425072"/>
    <w:rsid w:val="00425A63"/>
    <w:rsid w:val="00425CDC"/>
    <w:rsid w:val="004265F2"/>
    <w:rsid w:val="004265F5"/>
    <w:rsid w:val="00426EF4"/>
    <w:rsid w:val="004271D5"/>
    <w:rsid w:val="004273AD"/>
    <w:rsid w:val="0042779F"/>
    <w:rsid w:val="00427C7D"/>
    <w:rsid w:val="00427F44"/>
    <w:rsid w:val="00430FA4"/>
    <w:rsid w:val="0043160A"/>
    <w:rsid w:val="0043164C"/>
    <w:rsid w:val="00431919"/>
    <w:rsid w:val="00431B23"/>
    <w:rsid w:val="00431BAA"/>
    <w:rsid w:val="0043223F"/>
    <w:rsid w:val="0043238B"/>
    <w:rsid w:val="00432406"/>
    <w:rsid w:val="00432407"/>
    <w:rsid w:val="0043259E"/>
    <w:rsid w:val="0043278D"/>
    <w:rsid w:val="004329E1"/>
    <w:rsid w:val="00432DC9"/>
    <w:rsid w:val="00432E49"/>
    <w:rsid w:val="00432FE0"/>
    <w:rsid w:val="004332A4"/>
    <w:rsid w:val="004343A9"/>
    <w:rsid w:val="00434444"/>
    <w:rsid w:val="0043476D"/>
    <w:rsid w:val="004347FB"/>
    <w:rsid w:val="00434844"/>
    <w:rsid w:val="00434C67"/>
    <w:rsid w:val="00435634"/>
    <w:rsid w:val="0043584D"/>
    <w:rsid w:val="00436234"/>
    <w:rsid w:val="004363B9"/>
    <w:rsid w:val="00436D9B"/>
    <w:rsid w:val="00437D20"/>
    <w:rsid w:val="00437E94"/>
    <w:rsid w:val="004404A3"/>
    <w:rsid w:val="00440975"/>
    <w:rsid w:val="004410B7"/>
    <w:rsid w:val="0044216D"/>
    <w:rsid w:val="004429EF"/>
    <w:rsid w:val="00442AE0"/>
    <w:rsid w:val="00442D72"/>
    <w:rsid w:val="00443257"/>
    <w:rsid w:val="00443835"/>
    <w:rsid w:val="0044384F"/>
    <w:rsid w:val="00443AE8"/>
    <w:rsid w:val="00443FD8"/>
    <w:rsid w:val="00444CA1"/>
    <w:rsid w:val="00444E63"/>
    <w:rsid w:val="004451C5"/>
    <w:rsid w:val="004451DC"/>
    <w:rsid w:val="0044535A"/>
    <w:rsid w:val="0044595F"/>
    <w:rsid w:val="004459FC"/>
    <w:rsid w:val="00445C0E"/>
    <w:rsid w:val="00445E70"/>
    <w:rsid w:val="00446209"/>
    <w:rsid w:val="004468B3"/>
    <w:rsid w:val="00446DAE"/>
    <w:rsid w:val="00446DE7"/>
    <w:rsid w:val="0044706F"/>
    <w:rsid w:val="004477D1"/>
    <w:rsid w:val="00447978"/>
    <w:rsid w:val="00447DAE"/>
    <w:rsid w:val="00447ED9"/>
    <w:rsid w:val="00447F2C"/>
    <w:rsid w:val="004501EF"/>
    <w:rsid w:val="00450DFB"/>
    <w:rsid w:val="00451041"/>
    <w:rsid w:val="004518A5"/>
    <w:rsid w:val="00451B89"/>
    <w:rsid w:val="00451BDE"/>
    <w:rsid w:val="00451FC3"/>
    <w:rsid w:val="00452059"/>
    <w:rsid w:val="00452E48"/>
    <w:rsid w:val="004530A5"/>
    <w:rsid w:val="004531A0"/>
    <w:rsid w:val="00453322"/>
    <w:rsid w:val="00453677"/>
    <w:rsid w:val="00453AA9"/>
    <w:rsid w:val="00453DAC"/>
    <w:rsid w:val="00454A0C"/>
    <w:rsid w:val="0045532D"/>
    <w:rsid w:val="00455496"/>
    <w:rsid w:val="00455C40"/>
    <w:rsid w:val="00456720"/>
    <w:rsid w:val="00456F89"/>
    <w:rsid w:val="00457331"/>
    <w:rsid w:val="004574B2"/>
    <w:rsid w:val="004577EE"/>
    <w:rsid w:val="00457CA6"/>
    <w:rsid w:val="0046021C"/>
    <w:rsid w:val="00460377"/>
    <w:rsid w:val="00461018"/>
    <w:rsid w:val="0046111F"/>
    <w:rsid w:val="004612FE"/>
    <w:rsid w:val="00461BA3"/>
    <w:rsid w:val="00461CEF"/>
    <w:rsid w:val="00462039"/>
    <w:rsid w:val="0046288E"/>
    <w:rsid w:val="00462BE0"/>
    <w:rsid w:val="00462DA5"/>
    <w:rsid w:val="00463178"/>
    <w:rsid w:val="00463C0A"/>
    <w:rsid w:val="00463E46"/>
    <w:rsid w:val="0046450D"/>
    <w:rsid w:val="00464613"/>
    <w:rsid w:val="00464AD8"/>
    <w:rsid w:val="00464DF1"/>
    <w:rsid w:val="00464EB5"/>
    <w:rsid w:val="004656EC"/>
    <w:rsid w:val="00465D1E"/>
    <w:rsid w:val="0046755C"/>
    <w:rsid w:val="00467903"/>
    <w:rsid w:val="00467948"/>
    <w:rsid w:val="00467D8D"/>
    <w:rsid w:val="00467ECB"/>
    <w:rsid w:val="004700A3"/>
    <w:rsid w:val="00470C3F"/>
    <w:rsid w:val="00470D30"/>
    <w:rsid w:val="00470DE4"/>
    <w:rsid w:val="004721C1"/>
    <w:rsid w:val="0047246F"/>
    <w:rsid w:val="00472B5F"/>
    <w:rsid w:val="004735C7"/>
    <w:rsid w:val="00473C4B"/>
    <w:rsid w:val="00473C83"/>
    <w:rsid w:val="00473E8C"/>
    <w:rsid w:val="004748D3"/>
    <w:rsid w:val="00474E04"/>
    <w:rsid w:val="004751D0"/>
    <w:rsid w:val="00475702"/>
    <w:rsid w:val="0047580A"/>
    <w:rsid w:val="004759FD"/>
    <w:rsid w:val="00475DC9"/>
    <w:rsid w:val="004761C5"/>
    <w:rsid w:val="0047765F"/>
    <w:rsid w:val="0047791C"/>
    <w:rsid w:val="00477B5F"/>
    <w:rsid w:val="00477EDD"/>
    <w:rsid w:val="00477F1A"/>
    <w:rsid w:val="00480504"/>
    <w:rsid w:val="00481398"/>
    <w:rsid w:val="00481662"/>
    <w:rsid w:val="00481695"/>
    <w:rsid w:val="00481708"/>
    <w:rsid w:val="00481ADD"/>
    <w:rsid w:val="0048228F"/>
    <w:rsid w:val="00483173"/>
    <w:rsid w:val="0048328C"/>
    <w:rsid w:val="00483617"/>
    <w:rsid w:val="004836F6"/>
    <w:rsid w:val="00483A22"/>
    <w:rsid w:val="00483C00"/>
    <w:rsid w:val="0048451A"/>
    <w:rsid w:val="00484530"/>
    <w:rsid w:val="004850B1"/>
    <w:rsid w:val="00486466"/>
    <w:rsid w:val="004869A2"/>
    <w:rsid w:val="00486EE7"/>
    <w:rsid w:val="00487068"/>
    <w:rsid w:val="00487175"/>
    <w:rsid w:val="0048787C"/>
    <w:rsid w:val="0048797E"/>
    <w:rsid w:val="00487A5E"/>
    <w:rsid w:val="0049007E"/>
    <w:rsid w:val="00490705"/>
    <w:rsid w:val="0049070F"/>
    <w:rsid w:val="00491564"/>
    <w:rsid w:val="0049166D"/>
    <w:rsid w:val="004916EC"/>
    <w:rsid w:val="00491CEB"/>
    <w:rsid w:val="004920C5"/>
    <w:rsid w:val="004922E3"/>
    <w:rsid w:val="0049233D"/>
    <w:rsid w:val="0049236C"/>
    <w:rsid w:val="0049284D"/>
    <w:rsid w:val="00492A1A"/>
    <w:rsid w:val="00492A2D"/>
    <w:rsid w:val="00492AA7"/>
    <w:rsid w:val="00492B96"/>
    <w:rsid w:val="00492CE9"/>
    <w:rsid w:val="00492E6E"/>
    <w:rsid w:val="004932AC"/>
    <w:rsid w:val="00493DA3"/>
    <w:rsid w:val="00493E02"/>
    <w:rsid w:val="00494440"/>
    <w:rsid w:val="004945B7"/>
    <w:rsid w:val="00494924"/>
    <w:rsid w:val="00494A3A"/>
    <w:rsid w:val="00494AD5"/>
    <w:rsid w:val="00494E6F"/>
    <w:rsid w:val="00494EE7"/>
    <w:rsid w:val="0049502F"/>
    <w:rsid w:val="0049521A"/>
    <w:rsid w:val="00495879"/>
    <w:rsid w:val="00495D4B"/>
    <w:rsid w:val="004960A3"/>
    <w:rsid w:val="0049652D"/>
    <w:rsid w:val="00496981"/>
    <w:rsid w:val="00496FA2"/>
    <w:rsid w:val="00497765"/>
    <w:rsid w:val="00497DFA"/>
    <w:rsid w:val="00497E56"/>
    <w:rsid w:val="004A017D"/>
    <w:rsid w:val="004A02A3"/>
    <w:rsid w:val="004A05C0"/>
    <w:rsid w:val="004A05CB"/>
    <w:rsid w:val="004A13D0"/>
    <w:rsid w:val="004A154B"/>
    <w:rsid w:val="004A172F"/>
    <w:rsid w:val="004A1BAF"/>
    <w:rsid w:val="004A1D13"/>
    <w:rsid w:val="004A1E9A"/>
    <w:rsid w:val="004A2249"/>
    <w:rsid w:val="004A243F"/>
    <w:rsid w:val="004A2638"/>
    <w:rsid w:val="004A27CF"/>
    <w:rsid w:val="004A342C"/>
    <w:rsid w:val="004A3603"/>
    <w:rsid w:val="004A4401"/>
    <w:rsid w:val="004A44A9"/>
    <w:rsid w:val="004A49D5"/>
    <w:rsid w:val="004A4D2B"/>
    <w:rsid w:val="004A4D66"/>
    <w:rsid w:val="004A5025"/>
    <w:rsid w:val="004A5386"/>
    <w:rsid w:val="004A5651"/>
    <w:rsid w:val="004A5B2D"/>
    <w:rsid w:val="004A5D55"/>
    <w:rsid w:val="004A5F6A"/>
    <w:rsid w:val="004A6443"/>
    <w:rsid w:val="004A664D"/>
    <w:rsid w:val="004A6745"/>
    <w:rsid w:val="004A6A75"/>
    <w:rsid w:val="004A6CFF"/>
    <w:rsid w:val="004A7995"/>
    <w:rsid w:val="004A7B3A"/>
    <w:rsid w:val="004B0062"/>
    <w:rsid w:val="004B0374"/>
    <w:rsid w:val="004B06CE"/>
    <w:rsid w:val="004B0832"/>
    <w:rsid w:val="004B0B3B"/>
    <w:rsid w:val="004B1154"/>
    <w:rsid w:val="004B14D7"/>
    <w:rsid w:val="004B1545"/>
    <w:rsid w:val="004B1630"/>
    <w:rsid w:val="004B18F7"/>
    <w:rsid w:val="004B1F41"/>
    <w:rsid w:val="004B23E4"/>
    <w:rsid w:val="004B2BC8"/>
    <w:rsid w:val="004B2D9E"/>
    <w:rsid w:val="004B2E5B"/>
    <w:rsid w:val="004B3323"/>
    <w:rsid w:val="004B3A30"/>
    <w:rsid w:val="004B3FFE"/>
    <w:rsid w:val="004B44E6"/>
    <w:rsid w:val="004B48B6"/>
    <w:rsid w:val="004B48EB"/>
    <w:rsid w:val="004B49B2"/>
    <w:rsid w:val="004B4CFD"/>
    <w:rsid w:val="004B4EAA"/>
    <w:rsid w:val="004B534A"/>
    <w:rsid w:val="004B55C8"/>
    <w:rsid w:val="004B572C"/>
    <w:rsid w:val="004B5BA8"/>
    <w:rsid w:val="004B5E90"/>
    <w:rsid w:val="004B5EC3"/>
    <w:rsid w:val="004B675C"/>
    <w:rsid w:val="004B6A62"/>
    <w:rsid w:val="004B734E"/>
    <w:rsid w:val="004B74AE"/>
    <w:rsid w:val="004C0216"/>
    <w:rsid w:val="004C03C3"/>
    <w:rsid w:val="004C0722"/>
    <w:rsid w:val="004C0DB8"/>
    <w:rsid w:val="004C1C9F"/>
    <w:rsid w:val="004C20CD"/>
    <w:rsid w:val="004C2334"/>
    <w:rsid w:val="004C2D6C"/>
    <w:rsid w:val="004C358C"/>
    <w:rsid w:val="004C3C19"/>
    <w:rsid w:val="004C4C81"/>
    <w:rsid w:val="004C65AB"/>
    <w:rsid w:val="004C689B"/>
    <w:rsid w:val="004C6946"/>
    <w:rsid w:val="004C7D44"/>
    <w:rsid w:val="004D0357"/>
    <w:rsid w:val="004D042A"/>
    <w:rsid w:val="004D1027"/>
    <w:rsid w:val="004D1419"/>
    <w:rsid w:val="004D15E9"/>
    <w:rsid w:val="004D1C1E"/>
    <w:rsid w:val="004D2572"/>
    <w:rsid w:val="004D2E42"/>
    <w:rsid w:val="004D3602"/>
    <w:rsid w:val="004D4504"/>
    <w:rsid w:val="004D4614"/>
    <w:rsid w:val="004D4D9B"/>
    <w:rsid w:val="004D507A"/>
    <w:rsid w:val="004D51AA"/>
    <w:rsid w:val="004D5C28"/>
    <w:rsid w:val="004D5DD0"/>
    <w:rsid w:val="004D7CEB"/>
    <w:rsid w:val="004D7F41"/>
    <w:rsid w:val="004D7F50"/>
    <w:rsid w:val="004E01D1"/>
    <w:rsid w:val="004E02E7"/>
    <w:rsid w:val="004E04D6"/>
    <w:rsid w:val="004E0F04"/>
    <w:rsid w:val="004E1356"/>
    <w:rsid w:val="004E153F"/>
    <w:rsid w:val="004E1602"/>
    <w:rsid w:val="004E19C3"/>
    <w:rsid w:val="004E1EB1"/>
    <w:rsid w:val="004E1F08"/>
    <w:rsid w:val="004E2484"/>
    <w:rsid w:val="004E28BB"/>
    <w:rsid w:val="004E35B2"/>
    <w:rsid w:val="004E36B3"/>
    <w:rsid w:val="004E3A53"/>
    <w:rsid w:val="004E4687"/>
    <w:rsid w:val="004E4894"/>
    <w:rsid w:val="004E4B32"/>
    <w:rsid w:val="004E56F4"/>
    <w:rsid w:val="004E5A26"/>
    <w:rsid w:val="004E5B54"/>
    <w:rsid w:val="004E6141"/>
    <w:rsid w:val="004E6726"/>
    <w:rsid w:val="004E6A24"/>
    <w:rsid w:val="004E7228"/>
    <w:rsid w:val="004E7A6B"/>
    <w:rsid w:val="004E7ED8"/>
    <w:rsid w:val="004F0292"/>
    <w:rsid w:val="004F11E2"/>
    <w:rsid w:val="004F1781"/>
    <w:rsid w:val="004F2A8D"/>
    <w:rsid w:val="004F2B91"/>
    <w:rsid w:val="004F328D"/>
    <w:rsid w:val="004F36D3"/>
    <w:rsid w:val="004F3742"/>
    <w:rsid w:val="004F39EB"/>
    <w:rsid w:val="004F39ED"/>
    <w:rsid w:val="004F3F32"/>
    <w:rsid w:val="004F40CB"/>
    <w:rsid w:val="004F43E1"/>
    <w:rsid w:val="004F4512"/>
    <w:rsid w:val="004F4717"/>
    <w:rsid w:val="004F4798"/>
    <w:rsid w:val="004F65A4"/>
    <w:rsid w:val="004F6CB6"/>
    <w:rsid w:val="004F7082"/>
    <w:rsid w:val="004F7230"/>
    <w:rsid w:val="004F7AA3"/>
    <w:rsid w:val="004F7F87"/>
    <w:rsid w:val="00500576"/>
    <w:rsid w:val="00500934"/>
    <w:rsid w:val="00500DC3"/>
    <w:rsid w:val="00501287"/>
    <w:rsid w:val="0050197F"/>
    <w:rsid w:val="00501A21"/>
    <w:rsid w:val="005025F3"/>
    <w:rsid w:val="0050274D"/>
    <w:rsid w:val="005027B4"/>
    <w:rsid w:val="00502C56"/>
    <w:rsid w:val="00503323"/>
    <w:rsid w:val="00503357"/>
    <w:rsid w:val="00503AB6"/>
    <w:rsid w:val="00503BEA"/>
    <w:rsid w:val="00503ED4"/>
    <w:rsid w:val="00505F27"/>
    <w:rsid w:val="00506F54"/>
    <w:rsid w:val="0050750B"/>
    <w:rsid w:val="00507B35"/>
    <w:rsid w:val="00507D01"/>
    <w:rsid w:val="00507FFE"/>
    <w:rsid w:val="00510131"/>
    <w:rsid w:val="005109DA"/>
    <w:rsid w:val="005109DB"/>
    <w:rsid w:val="00511AC9"/>
    <w:rsid w:val="00511B9E"/>
    <w:rsid w:val="00511BDC"/>
    <w:rsid w:val="00511E72"/>
    <w:rsid w:val="00512874"/>
    <w:rsid w:val="00512B46"/>
    <w:rsid w:val="00513642"/>
    <w:rsid w:val="00513FDF"/>
    <w:rsid w:val="00514FDD"/>
    <w:rsid w:val="00515CC3"/>
    <w:rsid w:val="005165F4"/>
    <w:rsid w:val="0051677C"/>
    <w:rsid w:val="00516A75"/>
    <w:rsid w:val="00516F8B"/>
    <w:rsid w:val="00517053"/>
    <w:rsid w:val="00517406"/>
    <w:rsid w:val="005177F7"/>
    <w:rsid w:val="00517E56"/>
    <w:rsid w:val="00520255"/>
    <w:rsid w:val="005206FC"/>
    <w:rsid w:val="0052088B"/>
    <w:rsid w:val="00520A9A"/>
    <w:rsid w:val="0052100C"/>
    <w:rsid w:val="00521307"/>
    <w:rsid w:val="00521315"/>
    <w:rsid w:val="005214ED"/>
    <w:rsid w:val="0052181A"/>
    <w:rsid w:val="00521DFF"/>
    <w:rsid w:val="005226B4"/>
    <w:rsid w:val="00522AC2"/>
    <w:rsid w:val="005234CE"/>
    <w:rsid w:val="0052375F"/>
    <w:rsid w:val="00523B76"/>
    <w:rsid w:val="00523EF8"/>
    <w:rsid w:val="0052410F"/>
    <w:rsid w:val="005245D9"/>
    <w:rsid w:val="00524BD6"/>
    <w:rsid w:val="00525101"/>
    <w:rsid w:val="00525422"/>
    <w:rsid w:val="005255A0"/>
    <w:rsid w:val="00525624"/>
    <w:rsid w:val="005256F1"/>
    <w:rsid w:val="00525789"/>
    <w:rsid w:val="00525C21"/>
    <w:rsid w:val="00525C9E"/>
    <w:rsid w:val="00526224"/>
    <w:rsid w:val="00526452"/>
    <w:rsid w:val="00526621"/>
    <w:rsid w:val="005266E7"/>
    <w:rsid w:val="005270BC"/>
    <w:rsid w:val="00527160"/>
    <w:rsid w:val="00527778"/>
    <w:rsid w:val="005279ED"/>
    <w:rsid w:val="00527A2F"/>
    <w:rsid w:val="00527DE6"/>
    <w:rsid w:val="00527F54"/>
    <w:rsid w:val="00530008"/>
    <w:rsid w:val="00530672"/>
    <w:rsid w:val="00530D19"/>
    <w:rsid w:val="0053100A"/>
    <w:rsid w:val="00531908"/>
    <w:rsid w:val="00531C0C"/>
    <w:rsid w:val="00531CC5"/>
    <w:rsid w:val="00531FA9"/>
    <w:rsid w:val="00532093"/>
    <w:rsid w:val="005320B7"/>
    <w:rsid w:val="005324BD"/>
    <w:rsid w:val="00532B46"/>
    <w:rsid w:val="00532F6D"/>
    <w:rsid w:val="005333B0"/>
    <w:rsid w:val="0053355E"/>
    <w:rsid w:val="0053358D"/>
    <w:rsid w:val="0053394D"/>
    <w:rsid w:val="00534F7B"/>
    <w:rsid w:val="00535129"/>
    <w:rsid w:val="00535376"/>
    <w:rsid w:val="00535583"/>
    <w:rsid w:val="005355BA"/>
    <w:rsid w:val="0053578D"/>
    <w:rsid w:val="00535A10"/>
    <w:rsid w:val="00535B53"/>
    <w:rsid w:val="00535B9D"/>
    <w:rsid w:val="0053651E"/>
    <w:rsid w:val="005370EA"/>
    <w:rsid w:val="00537A9C"/>
    <w:rsid w:val="00540598"/>
    <w:rsid w:val="0054081B"/>
    <w:rsid w:val="00540F51"/>
    <w:rsid w:val="005411C5"/>
    <w:rsid w:val="0054157A"/>
    <w:rsid w:val="005415F3"/>
    <w:rsid w:val="00541704"/>
    <w:rsid w:val="00541838"/>
    <w:rsid w:val="00541938"/>
    <w:rsid w:val="00541C42"/>
    <w:rsid w:val="00541FB9"/>
    <w:rsid w:val="00542097"/>
    <w:rsid w:val="00542A34"/>
    <w:rsid w:val="00542BBF"/>
    <w:rsid w:val="005432D7"/>
    <w:rsid w:val="00544242"/>
    <w:rsid w:val="00544493"/>
    <w:rsid w:val="0054474B"/>
    <w:rsid w:val="005447E9"/>
    <w:rsid w:val="00544849"/>
    <w:rsid w:val="005459C6"/>
    <w:rsid w:val="00545DFA"/>
    <w:rsid w:val="00545F18"/>
    <w:rsid w:val="00545F23"/>
    <w:rsid w:val="005469F3"/>
    <w:rsid w:val="00547914"/>
    <w:rsid w:val="00547A4F"/>
    <w:rsid w:val="00547ECE"/>
    <w:rsid w:val="00547F94"/>
    <w:rsid w:val="005506A3"/>
    <w:rsid w:val="005506D5"/>
    <w:rsid w:val="00550909"/>
    <w:rsid w:val="00550A6C"/>
    <w:rsid w:val="0055105F"/>
    <w:rsid w:val="005512EB"/>
    <w:rsid w:val="005514BF"/>
    <w:rsid w:val="00551C0D"/>
    <w:rsid w:val="0055231F"/>
    <w:rsid w:val="00552380"/>
    <w:rsid w:val="0055268F"/>
    <w:rsid w:val="00553103"/>
    <w:rsid w:val="0055324B"/>
    <w:rsid w:val="005536A5"/>
    <w:rsid w:val="005538EB"/>
    <w:rsid w:val="00553981"/>
    <w:rsid w:val="00554576"/>
    <w:rsid w:val="00554CD9"/>
    <w:rsid w:val="00555315"/>
    <w:rsid w:val="00555478"/>
    <w:rsid w:val="00555571"/>
    <w:rsid w:val="0055598D"/>
    <w:rsid w:val="00555C1B"/>
    <w:rsid w:val="00555D52"/>
    <w:rsid w:val="005560C6"/>
    <w:rsid w:val="00556117"/>
    <w:rsid w:val="005566AF"/>
    <w:rsid w:val="00556BAD"/>
    <w:rsid w:val="00557659"/>
    <w:rsid w:val="00557F90"/>
    <w:rsid w:val="0056000C"/>
    <w:rsid w:val="00560068"/>
    <w:rsid w:val="005606BF"/>
    <w:rsid w:val="00560A50"/>
    <w:rsid w:val="00560FCE"/>
    <w:rsid w:val="005623C2"/>
    <w:rsid w:val="00562C6A"/>
    <w:rsid w:val="00562C9F"/>
    <w:rsid w:val="00562EB9"/>
    <w:rsid w:val="0056312B"/>
    <w:rsid w:val="00563449"/>
    <w:rsid w:val="005634E4"/>
    <w:rsid w:val="005635D3"/>
    <w:rsid w:val="0056370B"/>
    <w:rsid w:val="00563768"/>
    <w:rsid w:val="00563793"/>
    <w:rsid w:val="00563A89"/>
    <w:rsid w:val="00563E33"/>
    <w:rsid w:val="00564434"/>
    <w:rsid w:val="00564768"/>
    <w:rsid w:val="005647FD"/>
    <w:rsid w:val="0056483F"/>
    <w:rsid w:val="005648DB"/>
    <w:rsid w:val="005649CA"/>
    <w:rsid w:val="00565240"/>
    <w:rsid w:val="00565283"/>
    <w:rsid w:val="005656EC"/>
    <w:rsid w:val="00565798"/>
    <w:rsid w:val="005661FE"/>
    <w:rsid w:val="0056687B"/>
    <w:rsid w:val="00567604"/>
    <w:rsid w:val="00567880"/>
    <w:rsid w:val="00567C95"/>
    <w:rsid w:val="005700B8"/>
    <w:rsid w:val="00570872"/>
    <w:rsid w:val="00571469"/>
    <w:rsid w:val="00571584"/>
    <w:rsid w:val="005715FB"/>
    <w:rsid w:val="00571818"/>
    <w:rsid w:val="00571B8B"/>
    <w:rsid w:val="00571DC8"/>
    <w:rsid w:val="00571DEF"/>
    <w:rsid w:val="005721B6"/>
    <w:rsid w:val="00572248"/>
    <w:rsid w:val="0057254D"/>
    <w:rsid w:val="0057277A"/>
    <w:rsid w:val="005727C5"/>
    <w:rsid w:val="0057299F"/>
    <w:rsid w:val="00572BEB"/>
    <w:rsid w:val="00572F6A"/>
    <w:rsid w:val="00573212"/>
    <w:rsid w:val="0057349E"/>
    <w:rsid w:val="005735B2"/>
    <w:rsid w:val="005736A6"/>
    <w:rsid w:val="00573808"/>
    <w:rsid w:val="00574410"/>
    <w:rsid w:val="005744C6"/>
    <w:rsid w:val="00575912"/>
    <w:rsid w:val="00575E3D"/>
    <w:rsid w:val="00575F1C"/>
    <w:rsid w:val="00576030"/>
    <w:rsid w:val="00576158"/>
    <w:rsid w:val="005762CD"/>
    <w:rsid w:val="005765A1"/>
    <w:rsid w:val="005767AA"/>
    <w:rsid w:val="0057712C"/>
    <w:rsid w:val="005778DB"/>
    <w:rsid w:val="00577EEF"/>
    <w:rsid w:val="0058079D"/>
    <w:rsid w:val="00580C3B"/>
    <w:rsid w:val="00581018"/>
    <w:rsid w:val="00581160"/>
    <w:rsid w:val="00581D16"/>
    <w:rsid w:val="005822A4"/>
    <w:rsid w:val="005828FD"/>
    <w:rsid w:val="00582FC2"/>
    <w:rsid w:val="00583806"/>
    <w:rsid w:val="0058387A"/>
    <w:rsid w:val="00584252"/>
    <w:rsid w:val="005842FC"/>
    <w:rsid w:val="00584546"/>
    <w:rsid w:val="00584613"/>
    <w:rsid w:val="005848E6"/>
    <w:rsid w:val="00584945"/>
    <w:rsid w:val="00584DC3"/>
    <w:rsid w:val="00585301"/>
    <w:rsid w:val="0058541D"/>
    <w:rsid w:val="0058613A"/>
    <w:rsid w:val="005867B5"/>
    <w:rsid w:val="00586A26"/>
    <w:rsid w:val="00586AB2"/>
    <w:rsid w:val="00586B1C"/>
    <w:rsid w:val="00586C56"/>
    <w:rsid w:val="00586CC1"/>
    <w:rsid w:val="00586CE7"/>
    <w:rsid w:val="0058739B"/>
    <w:rsid w:val="005874DD"/>
    <w:rsid w:val="00587A7E"/>
    <w:rsid w:val="00590453"/>
    <w:rsid w:val="00590B29"/>
    <w:rsid w:val="00590B7F"/>
    <w:rsid w:val="00590B9F"/>
    <w:rsid w:val="005913BE"/>
    <w:rsid w:val="00591A47"/>
    <w:rsid w:val="00591B83"/>
    <w:rsid w:val="0059266C"/>
    <w:rsid w:val="005926C9"/>
    <w:rsid w:val="00592959"/>
    <w:rsid w:val="00592A7F"/>
    <w:rsid w:val="00592B54"/>
    <w:rsid w:val="00592D12"/>
    <w:rsid w:val="00593228"/>
    <w:rsid w:val="005933DB"/>
    <w:rsid w:val="00593827"/>
    <w:rsid w:val="00593862"/>
    <w:rsid w:val="00593921"/>
    <w:rsid w:val="00593D31"/>
    <w:rsid w:val="0059518D"/>
    <w:rsid w:val="005952E7"/>
    <w:rsid w:val="00596066"/>
    <w:rsid w:val="005964E4"/>
    <w:rsid w:val="0059693F"/>
    <w:rsid w:val="00597F96"/>
    <w:rsid w:val="005A0141"/>
    <w:rsid w:val="005A0468"/>
    <w:rsid w:val="005A09DA"/>
    <w:rsid w:val="005A0B04"/>
    <w:rsid w:val="005A0C7B"/>
    <w:rsid w:val="005A1420"/>
    <w:rsid w:val="005A16E9"/>
    <w:rsid w:val="005A1826"/>
    <w:rsid w:val="005A1978"/>
    <w:rsid w:val="005A2288"/>
    <w:rsid w:val="005A27D0"/>
    <w:rsid w:val="005A2A8E"/>
    <w:rsid w:val="005A2D41"/>
    <w:rsid w:val="005A2E7F"/>
    <w:rsid w:val="005A48D1"/>
    <w:rsid w:val="005A49BB"/>
    <w:rsid w:val="005A5024"/>
    <w:rsid w:val="005A55B2"/>
    <w:rsid w:val="005A6499"/>
    <w:rsid w:val="005A6ED8"/>
    <w:rsid w:val="005A755F"/>
    <w:rsid w:val="005A78C0"/>
    <w:rsid w:val="005A7AF5"/>
    <w:rsid w:val="005B07BF"/>
    <w:rsid w:val="005B0D23"/>
    <w:rsid w:val="005B0F43"/>
    <w:rsid w:val="005B1154"/>
    <w:rsid w:val="005B1C15"/>
    <w:rsid w:val="005B26CF"/>
    <w:rsid w:val="005B28ED"/>
    <w:rsid w:val="005B2B33"/>
    <w:rsid w:val="005B30A5"/>
    <w:rsid w:val="005B31CA"/>
    <w:rsid w:val="005B31F4"/>
    <w:rsid w:val="005B33D7"/>
    <w:rsid w:val="005B4244"/>
    <w:rsid w:val="005B4A29"/>
    <w:rsid w:val="005B4C7D"/>
    <w:rsid w:val="005B4E77"/>
    <w:rsid w:val="005B54B3"/>
    <w:rsid w:val="005B5654"/>
    <w:rsid w:val="005B5B09"/>
    <w:rsid w:val="005B5D42"/>
    <w:rsid w:val="005B5EE0"/>
    <w:rsid w:val="005B67E4"/>
    <w:rsid w:val="005B6E10"/>
    <w:rsid w:val="005B6F3E"/>
    <w:rsid w:val="005B759B"/>
    <w:rsid w:val="005B7687"/>
    <w:rsid w:val="005B7E8D"/>
    <w:rsid w:val="005C0379"/>
    <w:rsid w:val="005C0757"/>
    <w:rsid w:val="005C080C"/>
    <w:rsid w:val="005C0931"/>
    <w:rsid w:val="005C1102"/>
    <w:rsid w:val="005C17F5"/>
    <w:rsid w:val="005C1972"/>
    <w:rsid w:val="005C1FA5"/>
    <w:rsid w:val="005C22FF"/>
    <w:rsid w:val="005C23CF"/>
    <w:rsid w:val="005C24E7"/>
    <w:rsid w:val="005C2C44"/>
    <w:rsid w:val="005C2DEB"/>
    <w:rsid w:val="005C34A3"/>
    <w:rsid w:val="005C3644"/>
    <w:rsid w:val="005C389A"/>
    <w:rsid w:val="005C3D0E"/>
    <w:rsid w:val="005C4240"/>
    <w:rsid w:val="005C4975"/>
    <w:rsid w:val="005C51C5"/>
    <w:rsid w:val="005C53E7"/>
    <w:rsid w:val="005C5FE5"/>
    <w:rsid w:val="005C64C8"/>
    <w:rsid w:val="005C6C92"/>
    <w:rsid w:val="005C6C99"/>
    <w:rsid w:val="005C7A76"/>
    <w:rsid w:val="005C7B27"/>
    <w:rsid w:val="005D0182"/>
    <w:rsid w:val="005D0452"/>
    <w:rsid w:val="005D0A84"/>
    <w:rsid w:val="005D13A2"/>
    <w:rsid w:val="005D17CF"/>
    <w:rsid w:val="005D1FA7"/>
    <w:rsid w:val="005D2078"/>
    <w:rsid w:val="005D209D"/>
    <w:rsid w:val="005D2294"/>
    <w:rsid w:val="005D257D"/>
    <w:rsid w:val="005D28EA"/>
    <w:rsid w:val="005D2D4E"/>
    <w:rsid w:val="005D3B2B"/>
    <w:rsid w:val="005D4189"/>
    <w:rsid w:val="005D4247"/>
    <w:rsid w:val="005D48D3"/>
    <w:rsid w:val="005D4E74"/>
    <w:rsid w:val="005D5208"/>
    <w:rsid w:val="005D52BB"/>
    <w:rsid w:val="005D5914"/>
    <w:rsid w:val="005D5EBD"/>
    <w:rsid w:val="005D641E"/>
    <w:rsid w:val="005D6722"/>
    <w:rsid w:val="005D6933"/>
    <w:rsid w:val="005D6946"/>
    <w:rsid w:val="005D6BA1"/>
    <w:rsid w:val="005D70DF"/>
    <w:rsid w:val="005E00D8"/>
    <w:rsid w:val="005E04D6"/>
    <w:rsid w:val="005E05C0"/>
    <w:rsid w:val="005E10BE"/>
    <w:rsid w:val="005E13EF"/>
    <w:rsid w:val="005E1804"/>
    <w:rsid w:val="005E19F3"/>
    <w:rsid w:val="005E1CA8"/>
    <w:rsid w:val="005E1E38"/>
    <w:rsid w:val="005E257A"/>
    <w:rsid w:val="005E2B7F"/>
    <w:rsid w:val="005E3365"/>
    <w:rsid w:val="005E344A"/>
    <w:rsid w:val="005E3708"/>
    <w:rsid w:val="005E39FB"/>
    <w:rsid w:val="005E3E15"/>
    <w:rsid w:val="005E3F1C"/>
    <w:rsid w:val="005E40B3"/>
    <w:rsid w:val="005E417D"/>
    <w:rsid w:val="005E446B"/>
    <w:rsid w:val="005E495E"/>
    <w:rsid w:val="005E4B15"/>
    <w:rsid w:val="005E4BA3"/>
    <w:rsid w:val="005E4BB7"/>
    <w:rsid w:val="005E56BC"/>
    <w:rsid w:val="005E6058"/>
    <w:rsid w:val="005E64EC"/>
    <w:rsid w:val="005E67CD"/>
    <w:rsid w:val="005E6B20"/>
    <w:rsid w:val="005E71E1"/>
    <w:rsid w:val="005E77F5"/>
    <w:rsid w:val="005E7B4A"/>
    <w:rsid w:val="005E7F0E"/>
    <w:rsid w:val="005F11E5"/>
    <w:rsid w:val="005F120E"/>
    <w:rsid w:val="005F1488"/>
    <w:rsid w:val="005F1913"/>
    <w:rsid w:val="005F1CED"/>
    <w:rsid w:val="005F2394"/>
    <w:rsid w:val="005F26CE"/>
    <w:rsid w:val="005F280E"/>
    <w:rsid w:val="005F2B9D"/>
    <w:rsid w:val="005F2EEC"/>
    <w:rsid w:val="005F3ABA"/>
    <w:rsid w:val="005F3B91"/>
    <w:rsid w:val="005F3C67"/>
    <w:rsid w:val="005F3CAE"/>
    <w:rsid w:val="005F3D7B"/>
    <w:rsid w:val="005F404F"/>
    <w:rsid w:val="005F4659"/>
    <w:rsid w:val="005F5017"/>
    <w:rsid w:val="005F5425"/>
    <w:rsid w:val="005F57A7"/>
    <w:rsid w:val="005F5986"/>
    <w:rsid w:val="005F5CB0"/>
    <w:rsid w:val="005F5CEA"/>
    <w:rsid w:val="005F5DB3"/>
    <w:rsid w:val="005F614A"/>
    <w:rsid w:val="005F65C4"/>
    <w:rsid w:val="005F66E6"/>
    <w:rsid w:val="005F7119"/>
    <w:rsid w:val="005F7253"/>
    <w:rsid w:val="005F760E"/>
    <w:rsid w:val="005F77AB"/>
    <w:rsid w:val="005F794D"/>
    <w:rsid w:val="005F7A7D"/>
    <w:rsid w:val="005F7F03"/>
    <w:rsid w:val="005F7F2B"/>
    <w:rsid w:val="006002C6"/>
    <w:rsid w:val="0060081E"/>
    <w:rsid w:val="006009C2"/>
    <w:rsid w:val="00600C2A"/>
    <w:rsid w:val="00600D96"/>
    <w:rsid w:val="00601A3B"/>
    <w:rsid w:val="00601C8B"/>
    <w:rsid w:val="00601CEB"/>
    <w:rsid w:val="00602341"/>
    <w:rsid w:val="0060299A"/>
    <w:rsid w:val="0060386F"/>
    <w:rsid w:val="00603AF3"/>
    <w:rsid w:val="006044EB"/>
    <w:rsid w:val="00604EF5"/>
    <w:rsid w:val="00605168"/>
    <w:rsid w:val="006060D2"/>
    <w:rsid w:val="00606A6E"/>
    <w:rsid w:val="00606D78"/>
    <w:rsid w:val="00606EB4"/>
    <w:rsid w:val="00606FDB"/>
    <w:rsid w:val="0060759B"/>
    <w:rsid w:val="006075A6"/>
    <w:rsid w:val="00607A07"/>
    <w:rsid w:val="00607DC3"/>
    <w:rsid w:val="00607DD3"/>
    <w:rsid w:val="00607EBF"/>
    <w:rsid w:val="0061025A"/>
    <w:rsid w:val="00610639"/>
    <w:rsid w:val="00610C93"/>
    <w:rsid w:val="00611540"/>
    <w:rsid w:val="00611692"/>
    <w:rsid w:val="006119C2"/>
    <w:rsid w:val="00612DD9"/>
    <w:rsid w:val="00612F06"/>
    <w:rsid w:val="0061348F"/>
    <w:rsid w:val="00613BD0"/>
    <w:rsid w:val="00614B35"/>
    <w:rsid w:val="00614BC5"/>
    <w:rsid w:val="00615991"/>
    <w:rsid w:val="00615DEC"/>
    <w:rsid w:val="00616013"/>
    <w:rsid w:val="00616082"/>
    <w:rsid w:val="006160F0"/>
    <w:rsid w:val="00616103"/>
    <w:rsid w:val="00616BA4"/>
    <w:rsid w:val="00616BD8"/>
    <w:rsid w:val="00616CB1"/>
    <w:rsid w:val="00617289"/>
    <w:rsid w:val="00617656"/>
    <w:rsid w:val="00617966"/>
    <w:rsid w:val="00617EA3"/>
    <w:rsid w:val="00617FAA"/>
    <w:rsid w:val="0062001E"/>
    <w:rsid w:val="006208AD"/>
    <w:rsid w:val="006216EB"/>
    <w:rsid w:val="00621BEB"/>
    <w:rsid w:val="00621E0E"/>
    <w:rsid w:val="00622040"/>
    <w:rsid w:val="00622427"/>
    <w:rsid w:val="00623B24"/>
    <w:rsid w:val="00624551"/>
    <w:rsid w:val="00624628"/>
    <w:rsid w:val="006246F0"/>
    <w:rsid w:val="00624B31"/>
    <w:rsid w:val="006253B9"/>
    <w:rsid w:val="00625855"/>
    <w:rsid w:val="0062655C"/>
    <w:rsid w:val="00626883"/>
    <w:rsid w:val="0062690E"/>
    <w:rsid w:val="0062702C"/>
    <w:rsid w:val="00627754"/>
    <w:rsid w:val="00627A33"/>
    <w:rsid w:val="00627A6F"/>
    <w:rsid w:val="00627E47"/>
    <w:rsid w:val="006308FC"/>
    <w:rsid w:val="0063096E"/>
    <w:rsid w:val="00630BCD"/>
    <w:rsid w:val="006310CA"/>
    <w:rsid w:val="00631251"/>
    <w:rsid w:val="0063146F"/>
    <w:rsid w:val="00631924"/>
    <w:rsid w:val="00631DC6"/>
    <w:rsid w:val="00631F2F"/>
    <w:rsid w:val="0063249C"/>
    <w:rsid w:val="00632C1E"/>
    <w:rsid w:val="00632CD1"/>
    <w:rsid w:val="00632D1F"/>
    <w:rsid w:val="00632F23"/>
    <w:rsid w:val="006332F6"/>
    <w:rsid w:val="00633B74"/>
    <w:rsid w:val="00633DF8"/>
    <w:rsid w:val="00633EB1"/>
    <w:rsid w:val="00633F97"/>
    <w:rsid w:val="006341EB"/>
    <w:rsid w:val="00634273"/>
    <w:rsid w:val="00634435"/>
    <w:rsid w:val="006344E4"/>
    <w:rsid w:val="006346C8"/>
    <w:rsid w:val="00634DE8"/>
    <w:rsid w:val="0063513C"/>
    <w:rsid w:val="0063565E"/>
    <w:rsid w:val="0063592E"/>
    <w:rsid w:val="0063621C"/>
    <w:rsid w:val="00636310"/>
    <w:rsid w:val="00636936"/>
    <w:rsid w:val="00636AD0"/>
    <w:rsid w:val="00636E7E"/>
    <w:rsid w:val="006379C2"/>
    <w:rsid w:val="00637C4B"/>
    <w:rsid w:val="00637C7F"/>
    <w:rsid w:val="00640470"/>
    <w:rsid w:val="00640474"/>
    <w:rsid w:val="0064076C"/>
    <w:rsid w:val="0064094C"/>
    <w:rsid w:val="0064132D"/>
    <w:rsid w:val="0064137D"/>
    <w:rsid w:val="00641ACE"/>
    <w:rsid w:val="00641DAE"/>
    <w:rsid w:val="00641DEF"/>
    <w:rsid w:val="006421F8"/>
    <w:rsid w:val="0064276A"/>
    <w:rsid w:val="00642BE4"/>
    <w:rsid w:val="00643227"/>
    <w:rsid w:val="006434EA"/>
    <w:rsid w:val="00643700"/>
    <w:rsid w:val="006438EA"/>
    <w:rsid w:val="00643C69"/>
    <w:rsid w:val="00643E94"/>
    <w:rsid w:val="00643EC7"/>
    <w:rsid w:val="006442D1"/>
    <w:rsid w:val="00644A50"/>
    <w:rsid w:val="00644D51"/>
    <w:rsid w:val="00645122"/>
    <w:rsid w:val="00645900"/>
    <w:rsid w:val="006460DA"/>
    <w:rsid w:val="00646102"/>
    <w:rsid w:val="00646713"/>
    <w:rsid w:val="0064675E"/>
    <w:rsid w:val="00647CE1"/>
    <w:rsid w:val="00650343"/>
    <w:rsid w:val="00650B59"/>
    <w:rsid w:val="0065187C"/>
    <w:rsid w:val="00651A57"/>
    <w:rsid w:val="00651E45"/>
    <w:rsid w:val="0065209F"/>
    <w:rsid w:val="0065250E"/>
    <w:rsid w:val="006527D5"/>
    <w:rsid w:val="0065296A"/>
    <w:rsid w:val="006534F7"/>
    <w:rsid w:val="00653C3A"/>
    <w:rsid w:val="00653EFD"/>
    <w:rsid w:val="00654869"/>
    <w:rsid w:val="00654A6B"/>
    <w:rsid w:val="00654EC5"/>
    <w:rsid w:val="00655B52"/>
    <w:rsid w:val="00655BEB"/>
    <w:rsid w:val="00655E82"/>
    <w:rsid w:val="00656C01"/>
    <w:rsid w:val="00656E87"/>
    <w:rsid w:val="006571A4"/>
    <w:rsid w:val="006578DD"/>
    <w:rsid w:val="00657FD1"/>
    <w:rsid w:val="0066022B"/>
    <w:rsid w:val="0066065B"/>
    <w:rsid w:val="00660A58"/>
    <w:rsid w:val="0066143C"/>
    <w:rsid w:val="0066189E"/>
    <w:rsid w:val="006619A4"/>
    <w:rsid w:val="00662083"/>
    <w:rsid w:val="00662150"/>
    <w:rsid w:val="00662208"/>
    <w:rsid w:val="00662D55"/>
    <w:rsid w:val="00662D72"/>
    <w:rsid w:val="00662F63"/>
    <w:rsid w:val="0066312E"/>
    <w:rsid w:val="006636AF"/>
    <w:rsid w:val="0066377F"/>
    <w:rsid w:val="00663B4B"/>
    <w:rsid w:val="00664A20"/>
    <w:rsid w:val="00664F19"/>
    <w:rsid w:val="00665964"/>
    <w:rsid w:val="00665B31"/>
    <w:rsid w:val="00665FEE"/>
    <w:rsid w:val="00665FF5"/>
    <w:rsid w:val="00666B64"/>
    <w:rsid w:val="00666DE9"/>
    <w:rsid w:val="00666F7C"/>
    <w:rsid w:val="0066733A"/>
    <w:rsid w:val="00667F92"/>
    <w:rsid w:val="00670313"/>
    <w:rsid w:val="00670818"/>
    <w:rsid w:val="00670C2D"/>
    <w:rsid w:val="00670CB3"/>
    <w:rsid w:val="00671042"/>
    <w:rsid w:val="00671123"/>
    <w:rsid w:val="00671911"/>
    <w:rsid w:val="006720C4"/>
    <w:rsid w:val="00672EE9"/>
    <w:rsid w:val="0067324C"/>
    <w:rsid w:val="00673477"/>
    <w:rsid w:val="0067430A"/>
    <w:rsid w:val="006744FB"/>
    <w:rsid w:val="006747A6"/>
    <w:rsid w:val="00674D61"/>
    <w:rsid w:val="0067534C"/>
    <w:rsid w:val="00675552"/>
    <w:rsid w:val="00675AC8"/>
    <w:rsid w:val="0067613C"/>
    <w:rsid w:val="00676B5F"/>
    <w:rsid w:val="00676BBF"/>
    <w:rsid w:val="00676F43"/>
    <w:rsid w:val="00677843"/>
    <w:rsid w:val="00677EA5"/>
    <w:rsid w:val="0068015B"/>
    <w:rsid w:val="00680741"/>
    <w:rsid w:val="0068094D"/>
    <w:rsid w:val="00680A26"/>
    <w:rsid w:val="00680F6E"/>
    <w:rsid w:val="00681077"/>
    <w:rsid w:val="0068143A"/>
    <w:rsid w:val="00681E29"/>
    <w:rsid w:val="00682AB8"/>
    <w:rsid w:val="00682D94"/>
    <w:rsid w:val="00683018"/>
    <w:rsid w:val="00683B13"/>
    <w:rsid w:val="00684611"/>
    <w:rsid w:val="006847E0"/>
    <w:rsid w:val="00684C0B"/>
    <w:rsid w:val="00684C0F"/>
    <w:rsid w:val="00684D8C"/>
    <w:rsid w:val="006854A0"/>
    <w:rsid w:val="00686864"/>
    <w:rsid w:val="0068696D"/>
    <w:rsid w:val="00686AA6"/>
    <w:rsid w:val="00686C90"/>
    <w:rsid w:val="00687160"/>
    <w:rsid w:val="006871C3"/>
    <w:rsid w:val="00687231"/>
    <w:rsid w:val="006873F0"/>
    <w:rsid w:val="00687A70"/>
    <w:rsid w:val="006906F1"/>
    <w:rsid w:val="00691233"/>
    <w:rsid w:val="006913F3"/>
    <w:rsid w:val="0069170E"/>
    <w:rsid w:val="00691C75"/>
    <w:rsid w:val="00691D36"/>
    <w:rsid w:val="006922F3"/>
    <w:rsid w:val="006924D3"/>
    <w:rsid w:val="00692B25"/>
    <w:rsid w:val="00692CDE"/>
    <w:rsid w:val="0069338A"/>
    <w:rsid w:val="0069384A"/>
    <w:rsid w:val="006940D3"/>
    <w:rsid w:val="006944E3"/>
    <w:rsid w:val="00694852"/>
    <w:rsid w:val="006954BE"/>
    <w:rsid w:val="006954BF"/>
    <w:rsid w:val="00695773"/>
    <w:rsid w:val="006959D2"/>
    <w:rsid w:val="006960E5"/>
    <w:rsid w:val="00697155"/>
    <w:rsid w:val="006978EF"/>
    <w:rsid w:val="006A005A"/>
    <w:rsid w:val="006A00C4"/>
    <w:rsid w:val="006A00FE"/>
    <w:rsid w:val="006A09A9"/>
    <w:rsid w:val="006A18A8"/>
    <w:rsid w:val="006A18FB"/>
    <w:rsid w:val="006A1A20"/>
    <w:rsid w:val="006A1D3E"/>
    <w:rsid w:val="006A1E41"/>
    <w:rsid w:val="006A1F4A"/>
    <w:rsid w:val="006A219D"/>
    <w:rsid w:val="006A22BC"/>
    <w:rsid w:val="006A236A"/>
    <w:rsid w:val="006A259B"/>
    <w:rsid w:val="006A2CE5"/>
    <w:rsid w:val="006A44B7"/>
    <w:rsid w:val="006A4F4B"/>
    <w:rsid w:val="006A503C"/>
    <w:rsid w:val="006A50DF"/>
    <w:rsid w:val="006A5883"/>
    <w:rsid w:val="006A5A6D"/>
    <w:rsid w:val="006A6319"/>
    <w:rsid w:val="006A7DAE"/>
    <w:rsid w:val="006B0E5C"/>
    <w:rsid w:val="006B110C"/>
    <w:rsid w:val="006B143E"/>
    <w:rsid w:val="006B166F"/>
    <w:rsid w:val="006B23C4"/>
    <w:rsid w:val="006B241D"/>
    <w:rsid w:val="006B26EB"/>
    <w:rsid w:val="006B2F0B"/>
    <w:rsid w:val="006B3424"/>
    <w:rsid w:val="006B3A27"/>
    <w:rsid w:val="006B3AA8"/>
    <w:rsid w:val="006B3B94"/>
    <w:rsid w:val="006B4C86"/>
    <w:rsid w:val="006B4D19"/>
    <w:rsid w:val="006B4DF5"/>
    <w:rsid w:val="006B4E22"/>
    <w:rsid w:val="006B4F96"/>
    <w:rsid w:val="006B56DD"/>
    <w:rsid w:val="006B586F"/>
    <w:rsid w:val="006B58E2"/>
    <w:rsid w:val="006B592E"/>
    <w:rsid w:val="006B59A9"/>
    <w:rsid w:val="006B5BB5"/>
    <w:rsid w:val="006B5E9E"/>
    <w:rsid w:val="006B638D"/>
    <w:rsid w:val="006B6406"/>
    <w:rsid w:val="006B648F"/>
    <w:rsid w:val="006B67F7"/>
    <w:rsid w:val="006B7248"/>
    <w:rsid w:val="006B797B"/>
    <w:rsid w:val="006B7AA0"/>
    <w:rsid w:val="006B7AAF"/>
    <w:rsid w:val="006B7EFD"/>
    <w:rsid w:val="006C0193"/>
    <w:rsid w:val="006C05D2"/>
    <w:rsid w:val="006C0809"/>
    <w:rsid w:val="006C0838"/>
    <w:rsid w:val="006C0880"/>
    <w:rsid w:val="006C0DBE"/>
    <w:rsid w:val="006C1518"/>
    <w:rsid w:val="006C1610"/>
    <w:rsid w:val="006C17FA"/>
    <w:rsid w:val="006C18E4"/>
    <w:rsid w:val="006C1F1F"/>
    <w:rsid w:val="006C2522"/>
    <w:rsid w:val="006C278B"/>
    <w:rsid w:val="006C2B76"/>
    <w:rsid w:val="006C2F98"/>
    <w:rsid w:val="006C37F6"/>
    <w:rsid w:val="006C384A"/>
    <w:rsid w:val="006C384B"/>
    <w:rsid w:val="006C3CC5"/>
    <w:rsid w:val="006C4C5D"/>
    <w:rsid w:val="006C65EA"/>
    <w:rsid w:val="006C66E7"/>
    <w:rsid w:val="006C6F4D"/>
    <w:rsid w:val="006C71C6"/>
    <w:rsid w:val="006C78FB"/>
    <w:rsid w:val="006C7901"/>
    <w:rsid w:val="006C7CC5"/>
    <w:rsid w:val="006D00E3"/>
    <w:rsid w:val="006D04D7"/>
    <w:rsid w:val="006D07B3"/>
    <w:rsid w:val="006D09F8"/>
    <w:rsid w:val="006D0A6E"/>
    <w:rsid w:val="006D133C"/>
    <w:rsid w:val="006D21BA"/>
    <w:rsid w:val="006D26FC"/>
    <w:rsid w:val="006D27C7"/>
    <w:rsid w:val="006D2A6F"/>
    <w:rsid w:val="006D3131"/>
    <w:rsid w:val="006D31BC"/>
    <w:rsid w:val="006D4667"/>
    <w:rsid w:val="006D48FF"/>
    <w:rsid w:val="006D516B"/>
    <w:rsid w:val="006D51B9"/>
    <w:rsid w:val="006D6451"/>
    <w:rsid w:val="006D6D60"/>
    <w:rsid w:val="006D6DB5"/>
    <w:rsid w:val="006D7446"/>
    <w:rsid w:val="006D79BD"/>
    <w:rsid w:val="006D79DC"/>
    <w:rsid w:val="006D7CF6"/>
    <w:rsid w:val="006E016A"/>
    <w:rsid w:val="006E08FF"/>
    <w:rsid w:val="006E0A62"/>
    <w:rsid w:val="006E0A97"/>
    <w:rsid w:val="006E12D3"/>
    <w:rsid w:val="006E12DF"/>
    <w:rsid w:val="006E13BA"/>
    <w:rsid w:val="006E15C3"/>
    <w:rsid w:val="006E15EA"/>
    <w:rsid w:val="006E181D"/>
    <w:rsid w:val="006E1E5C"/>
    <w:rsid w:val="006E2016"/>
    <w:rsid w:val="006E210C"/>
    <w:rsid w:val="006E2680"/>
    <w:rsid w:val="006E28F8"/>
    <w:rsid w:val="006E29DA"/>
    <w:rsid w:val="006E2A32"/>
    <w:rsid w:val="006E307C"/>
    <w:rsid w:val="006E3379"/>
    <w:rsid w:val="006E3628"/>
    <w:rsid w:val="006E3696"/>
    <w:rsid w:val="006E4126"/>
    <w:rsid w:val="006E4241"/>
    <w:rsid w:val="006E465A"/>
    <w:rsid w:val="006E4690"/>
    <w:rsid w:val="006E4C6C"/>
    <w:rsid w:val="006E4FDF"/>
    <w:rsid w:val="006E51CE"/>
    <w:rsid w:val="006E5379"/>
    <w:rsid w:val="006E54F6"/>
    <w:rsid w:val="006E5888"/>
    <w:rsid w:val="006E5F18"/>
    <w:rsid w:val="006E6F86"/>
    <w:rsid w:val="006E763F"/>
    <w:rsid w:val="006E76E6"/>
    <w:rsid w:val="006E7700"/>
    <w:rsid w:val="006E777F"/>
    <w:rsid w:val="006E7916"/>
    <w:rsid w:val="006F0178"/>
    <w:rsid w:val="006F05F1"/>
    <w:rsid w:val="006F0CD5"/>
    <w:rsid w:val="006F0EE0"/>
    <w:rsid w:val="006F1952"/>
    <w:rsid w:val="006F19D3"/>
    <w:rsid w:val="006F1AA4"/>
    <w:rsid w:val="006F1AFA"/>
    <w:rsid w:val="006F1B65"/>
    <w:rsid w:val="006F1CAE"/>
    <w:rsid w:val="006F21F4"/>
    <w:rsid w:val="006F230B"/>
    <w:rsid w:val="006F27D0"/>
    <w:rsid w:val="006F3194"/>
    <w:rsid w:val="006F3408"/>
    <w:rsid w:val="006F3937"/>
    <w:rsid w:val="006F41A5"/>
    <w:rsid w:val="006F472B"/>
    <w:rsid w:val="006F5593"/>
    <w:rsid w:val="006F598E"/>
    <w:rsid w:val="006F5BB8"/>
    <w:rsid w:val="006F5DFA"/>
    <w:rsid w:val="006F6530"/>
    <w:rsid w:val="006F65E5"/>
    <w:rsid w:val="006F688A"/>
    <w:rsid w:val="006F69D1"/>
    <w:rsid w:val="006F69E6"/>
    <w:rsid w:val="006F750D"/>
    <w:rsid w:val="006F77F0"/>
    <w:rsid w:val="007007EE"/>
    <w:rsid w:val="00701267"/>
    <w:rsid w:val="0070140B"/>
    <w:rsid w:val="00701776"/>
    <w:rsid w:val="00701B93"/>
    <w:rsid w:val="0070231C"/>
    <w:rsid w:val="007024F8"/>
    <w:rsid w:val="00702C17"/>
    <w:rsid w:val="007037F2"/>
    <w:rsid w:val="00703818"/>
    <w:rsid w:val="00703884"/>
    <w:rsid w:val="007041EA"/>
    <w:rsid w:val="00704695"/>
    <w:rsid w:val="00704856"/>
    <w:rsid w:val="00704902"/>
    <w:rsid w:val="00704CAB"/>
    <w:rsid w:val="00704ECC"/>
    <w:rsid w:val="00704EDB"/>
    <w:rsid w:val="00705101"/>
    <w:rsid w:val="007053BC"/>
    <w:rsid w:val="0070542E"/>
    <w:rsid w:val="0070629F"/>
    <w:rsid w:val="00706322"/>
    <w:rsid w:val="00706444"/>
    <w:rsid w:val="00706D90"/>
    <w:rsid w:val="00707CCA"/>
    <w:rsid w:val="00710789"/>
    <w:rsid w:val="0071096A"/>
    <w:rsid w:val="007109DC"/>
    <w:rsid w:val="00710A64"/>
    <w:rsid w:val="00710A9A"/>
    <w:rsid w:val="00710B09"/>
    <w:rsid w:val="00710E8F"/>
    <w:rsid w:val="00710F53"/>
    <w:rsid w:val="00711299"/>
    <w:rsid w:val="007113D5"/>
    <w:rsid w:val="007115C0"/>
    <w:rsid w:val="007115D9"/>
    <w:rsid w:val="00712070"/>
    <w:rsid w:val="00712144"/>
    <w:rsid w:val="0071217F"/>
    <w:rsid w:val="00712DE7"/>
    <w:rsid w:val="007130F5"/>
    <w:rsid w:val="007132FE"/>
    <w:rsid w:val="00713622"/>
    <w:rsid w:val="00713E22"/>
    <w:rsid w:val="007143A5"/>
    <w:rsid w:val="00714667"/>
    <w:rsid w:val="00714B8F"/>
    <w:rsid w:val="00714C8A"/>
    <w:rsid w:val="007151CF"/>
    <w:rsid w:val="0071550E"/>
    <w:rsid w:val="00715A6B"/>
    <w:rsid w:val="00715FC5"/>
    <w:rsid w:val="007163F0"/>
    <w:rsid w:val="0071653B"/>
    <w:rsid w:val="007165A9"/>
    <w:rsid w:val="00716832"/>
    <w:rsid w:val="00716F2D"/>
    <w:rsid w:val="00716F94"/>
    <w:rsid w:val="00717101"/>
    <w:rsid w:val="007172C8"/>
    <w:rsid w:val="0071740F"/>
    <w:rsid w:val="00717603"/>
    <w:rsid w:val="00720B17"/>
    <w:rsid w:val="00721015"/>
    <w:rsid w:val="00722C75"/>
    <w:rsid w:val="00722C87"/>
    <w:rsid w:val="00722D09"/>
    <w:rsid w:val="007230FC"/>
    <w:rsid w:val="007232F6"/>
    <w:rsid w:val="007233F3"/>
    <w:rsid w:val="0072379A"/>
    <w:rsid w:val="00723888"/>
    <w:rsid w:val="00723A99"/>
    <w:rsid w:val="00724349"/>
    <w:rsid w:val="007245C9"/>
    <w:rsid w:val="007247D3"/>
    <w:rsid w:val="00724E06"/>
    <w:rsid w:val="00725281"/>
    <w:rsid w:val="0072586E"/>
    <w:rsid w:val="0072593F"/>
    <w:rsid w:val="00725A7E"/>
    <w:rsid w:val="0072638C"/>
    <w:rsid w:val="00726565"/>
    <w:rsid w:val="007269A2"/>
    <w:rsid w:val="00727676"/>
    <w:rsid w:val="00727DB3"/>
    <w:rsid w:val="00727F81"/>
    <w:rsid w:val="00730491"/>
    <w:rsid w:val="007314AD"/>
    <w:rsid w:val="00731540"/>
    <w:rsid w:val="007325DA"/>
    <w:rsid w:val="0073298D"/>
    <w:rsid w:val="00732A24"/>
    <w:rsid w:val="00733A53"/>
    <w:rsid w:val="00733A78"/>
    <w:rsid w:val="00734680"/>
    <w:rsid w:val="00734971"/>
    <w:rsid w:val="00734CD2"/>
    <w:rsid w:val="00734E5F"/>
    <w:rsid w:val="007352DC"/>
    <w:rsid w:val="0073546E"/>
    <w:rsid w:val="00735788"/>
    <w:rsid w:val="00735797"/>
    <w:rsid w:val="00736340"/>
    <w:rsid w:val="00736B61"/>
    <w:rsid w:val="00736C28"/>
    <w:rsid w:val="00736CCF"/>
    <w:rsid w:val="00736E9F"/>
    <w:rsid w:val="007370DA"/>
    <w:rsid w:val="007379E0"/>
    <w:rsid w:val="00737A3F"/>
    <w:rsid w:val="00737D07"/>
    <w:rsid w:val="00740343"/>
    <w:rsid w:val="00740D48"/>
    <w:rsid w:val="00741846"/>
    <w:rsid w:val="00742A6A"/>
    <w:rsid w:val="00743587"/>
    <w:rsid w:val="007439C6"/>
    <w:rsid w:val="00744142"/>
    <w:rsid w:val="007441CB"/>
    <w:rsid w:val="007446A7"/>
    <w:rsid w:val="0074489D"/>
    <w:rsid w:val="007449BF"/>
    <w:rsid w:val="00744C4C"/>
    <w:rsid w:val="007451BA"/>
    <w:rsid w:val="007452AE"/>
    <w:rsid w:val="00745720"/>
    <w:rsid w:val="0074598D"/>
    <w:rsid w:val="00745B8B"/>
    <w:rsid w:val="00746283"/>
    <w:rsid w:val="007465CA"/>
    <w:rsid w:val="00746664"/>
    <w:rsid w:val="00746C0F"/>
    <w:rsid w:val="00746DEA"/>
    <w:rsid w:val="00747139"/>
    <w:rsid w:val="0074759B"/>
    <w:rsid w:val="007477D7"/>
    <w:rsid w:val="00747A92"/>
    <w:rsid w:val="00747B02"/>
    <w:rsid w:val="00747C3B"/>
    <w:rsid w:val="00747E1C"/>
    <w:rsid w:val="007507D7"/>
    <w:rsid w:val="00750B72"/>
    <w:rsid w:val="00751A85"/>
    <w:rsid w:val="00751FD8"/>
    <w:rsid w:val="0075226A"/>
    <w:rsid w:val="0075235E"/>
    <w:rsid w:val="007538B4"/>
    <w:rsid w:val="007539CA"/>
    <w:rsid w:val="00753F40"/>
    <w:rsid w:val="007546BF"/>
    <w:rsid w:val="007548C8"/>
    <w:rsid w:val="00754D1D"/>
    <w:rsid w:val="00755148"/>
    <w:rsid w:val="00755328"/>
    <w:rsid w:val="00755662"/>
    <w:rsid w:val="00755840"/>
    <w:rsid w:val="00755C96"/>
    <w:rsid w:val="00755F19"/>
    <w:rsid w:val="00755FBE"/>
    <w:rsid w:val="00756039"/>
    <w:rsid w:val="007563A3"/>
    <w:rsid w:val="00756464"/>
    <w:rsid w:val="007570A3"/>
    <w:rsid w:val="00757595"/>
    <w:rsid w:val="00757DBF"/>
    <w:rsid w:val="00757E11"/>
    <w:rsid w:val="007602FA"/>
    <w:rsid w:val="00760A8F"/>
    <w:rsid w:val="00760B61"/>
    <w:rsid w:val="00760DA8"/>
    <w:rsid w:val="0076124E"/>
    <w:rsid w:val="00761295"/>
    <w:rsid w:val="00761886"/>
    <w:rsid w:val="007619F4"/>
    <w:rsid w:val="00761AEE"/>
    <w:rsid w:val="00762E70"/>
    <w:rsid w:val="0076392B"/>
    <w:rsid w:val="007642C1"/>
    <w:rsid w:val="007645CF"/>
    <w:rsid w:val="007645FF"/>
    <w:rsid w:val="00764A6C"/>
    <w:rsid w:val="00764C6E"/>
    <w:rsid w:val="0076510F"/>
    <w:rsid w:val="007654C3"/>
    <w:rsid w:val="00765595"/>
    <w:rsid w:val="00765B45"/>
    <w:rsid w:val="00766A02"/>
    <w:rsid w:val="00766BD6"/>
    <w:rsid w:val="00766E30"/>
    <w:rsid w:val="00766E4F"/>
    <w:rsid w:val="00766E73"/>
    <w:rsid w:val="00766EDA"/>
    <w:rsid w:val="00766F64"/>
    <w:rsid w:val="00767315"/>
    <w:rsid w:val="00767BD3"/>
    <w:rsid w:val="00770002"/>
    <w:rsid w:val="0077003C"/>
    <w:rsid w:val="00770698"/>
    <w:rsid w:val="00770704"/>
    <w:rsid w:val="00770B6A"/>
    <w:rsid w:val="007710CB"/>
    <w:rsid w:val="00771445"/>
    <w:rsid w:val="00771710"/>
    <w:rsid w:val="007720ED"/>
    <w:rsid w:val="00772230"/>
    <w:rsid w:val="00772C3A"/>
    <w:rsid w:val="00773989"/>
    <w:rsid w:val="00773A0C"/>
    <w:rsid w:val="0077405A"/>
    <w:rsid w:val="007742F2"/>
    <w:rsid w:val="007743D3"/>
    <w:rsid w:val="0077493B"/>
    <w:rsid w:val="00774A8D"/>
    <w:rsid w:val="00774D05"/>
    <w:rsid w:val="00774FB5"/>
    <w:rsid w:val="00775089"/>
    <w:rsid w:val="007757F3"/>
    <w:rsid w:val="0077584A"/>
    <w:rsid w:val="0077595A"/>
    <w:rsid w:val="00775CA2"/>
    <w:rsid w:val="00775D51"/>
    <w:rsid w:val="00776804"/>
    <w:rsid w:val="0077686E"/>
    <w:rsid w:val="00776A3C"/>
    <w:rsid w:val="00777E4A"/>
    <w:rsid w:val="00780058"/>
    <w:rsid w:val="0078005C"/>
    <w:rsid w:val="0078019F"/>
    <w:rsid w:val="00780B9A"/>
    <w:rsid w:val="00780D04"/>
    <w:rsid w:val="00780E65"/>
    <w:rsid w:val="00781B8A"/>
    <w:rsid w:val="00781CB9"/>
    <w:rsid w:val="00781ECD"/>
    <w:rsid w:val="00781F13"/>
    <w:rsid w:val="00782ACB"/>
    <w:rsid w:val="00783280"/>
    <w:rsid w:val="00783541"/>
    <w:rsid w:val="0078442A"/>
    <w:rsid w:val="00784BF8"/>
    <w:rsid w:val="00784DA0"/>
    <w:rsid w:val="00784EA6"/>
    <w:rsid w:val="007854C0"/>
    <w:rsid w:val="007854C2"/>
    <w:rsid w:val="00785699"/>
    <w:rsid w:val="007859BE"/>
    <w:rsid w:val="00785C65"/>
    <w:rsid w:val="0078616A"/>
    <w:rsid w:val="00786A1A"/>
    <w:rsid w:val="00786A7F"/>
    <w:rsid w:val="00786A89"/>
    <w:rsid w:val="00786D8E"/>
    <w:rsid w:val="007874A0"/>
    <w:rsid w:val="00787DD7"/>
    <w:rsid w:val="00787ECC"/>
    <w:rsid w:val="00790153"/>
    <w:rsid w:val="007907E1"/>
    <w:rsid w:val="00790970"/>
    <w:rsid w:val="007918AE"/>
    <w:rsid w:val="007918E9"/>
    <w:rsid w:val="00791B8C"/>
    <w:rsid w:val="00792187"/>
    <w:rsid w:val="007925D3"/>
    <w:rsid w:val="0079285C"/>
    <w:rsid w:val="0079300A"/>
    <w:rsid w:val="00793298"/>
    <w:rsid w:val="00793691"/>
    <w:rsid w:val="007936B5"/>
    <w:rsid w:val="0079382E"/>
    <w:rsid w:val="00793CB7"/>
    <w:rsid w:val="00793E3A"/>
    <w:rsid w:val="0079415B"/>
    <w:rsid w:val="0079443E"/>
    <w:rsid w:val="00794D9E"/>
    <w:rsid w:val="00794DB4"/>
    <w:rsid w:val="00794ED2"/>
    <w:rsid w:val="007953F3"/>
    <w:rsid w:val="00795455"/>
    <w:rsid w:val="0079561F"/>
    <w:rsid w:val="0079583E"/>
    <w:rsid w:val="00796290"/>
    <w:rsid w:val="00796384"/>
    <w:rsid w:val="0079674D"/>
    <w:rsid w:val="0079686C"/>
    <w:rsid w:val="00796F7C"/>
    <w:rsid w:val="0079744B"/>
    <w:rsid w:val="00797529"/>
    <w:rsid w:val="0079754C"/>
    <w:rsid w:val="007976FE"/>
    <w:rsid w:val="00797C48"/>
    <w:rsid w:val="00797E6F"/>
    <w:rsid w:val="00797F9D"/>
    <w:rsid w:val="007A00FD"/>
    <w:rsid w:val="007A13AE"/>
    <w:rsid w:val="007A19FD"/>
    <w:rsid w:val="007A1B42"/>
    <w:rsid w:val="007A1DB7"/>
    <w:rsid w:val="007A38F7"/>
    <w:rsid w:val="007A3EE4"/>
    <w:rsid w:val="007A4283"/>
    <w:rsid w:val="007A42F4"/>
    <w:rsid w:val="007A4351"/>
    <w:rsid w:val="007A4A1E"/>
    <w:rsid w:val="007A4BFB"/>
    <w:rsid w:val="007A4D2E"/>
    <w:rsid w:val="007A5875"/>
    <w:rsid w:val="007A597A"/>
    <w:rsid w:val="007A5A2D"/>
    <w:rsid w:val="007A5A8D"/>
    <w:rsid w:val="007A5DED"/>
    <w:rsid w:val="007A641E"/>
    <w:rsid w:val="007A6422"/>
    <w:rsid w:val="007A7080"/>
    <w:rsid w:val="007A7516"/>
    <w:rsid w:val="007A77F4"/>
    <w:rsid w:val="007A7AB5"/>
    <w:rsid w:val="007B0034"/>
    <w:rsid w:val="007B036E"/>
    <w:rsid w:val="007B0415"/>
    <w:rsid w:val="007B041E"/>
    <w:rsid w:val="007B0482"/>
    <w:rsid w:val="007B0500"/>
    <w:rsid w:val="007B05A7"/>
    <w:rsid w:val="007B07E9"/>
    <w:rsid w:val="007B0EE6"/>
    <w:rsid w:val="007B0F0C"/>
    <w:rsid w:val="007B12A0"/>
    <w:rsid w:val="007B1403"/>
    <w:rsid w:val="007B157E"/>
    <w:rsid w:val="007B1F5A"/>
    <w:rsid w:val="007B24CA"/>
    <w:rsid w:val="007B2D65"/>
    <w:rsid w:val="007B32AC"/>
    <w:rsid w:val="007B3C9D"/>
    <w:rsid w:val="007B3ED7"/>
    <w:rsid w:val="007B43BA"/>
    <w:rsid w:val="007B4496"/>
    <w:rsid w:val="007B4804"/>
    <w:rsid w:val="007B504A"/>
    <w:rsid w:val="007B51DA"/>
    <w:rsid w:val="007B5697"/>
    <w:rsid w:val="007B5856"/>
    <w:rsid w:val="007B58D6"/>
    <w:rsid w:val="007B5AF1"/>
    <w:rsid w:val="007B5EC6"/>
    <w:rsid w:val="007B5ED6"/>
    <w:rsid w:val="007B65CA"/>
    <w:rsid w:val="007B70F1"/>
    <w:rsid w:val="007B74D6"/>
    <w:rsid w:val="007B75AD"/>
    <w:rsid w:val="007B7CEF"/>
    <w:rsid w:val="007C0166"/>
    <w:rsid w:val="007C0344"/>
    <w:rsid w:val="007C0AA9"/>
    <w:rsid w:val="007C127C"/>
    <w:rsid w:val="007C1B06"/>
    <w:rsid w:val="007C1F5B"/>
    <w:rsid w:val="007C1FCB"/>
    <w:rsid w:val="007C202C"/>
    <w:rsid w:val="007C22E6"/>
    <w:rsid w:val="007C2543"/>
    <w:rsid w:val="007C2809"/>
    <w:rsid w:val="007C28AB"/>
    <w:rsid w:val="007C2A17"/>
    <w:rsid w:val="007C2DF5"/>
    <w:rsid w:val="007C376C"/>
    <w:rsid w:val="007C3C2E"/>
    <w:rsid w:val="007C3EE7"/>
    <w:rsid w:val="007C3F71"/>
    <w:rsid w:val="007C4523"/>
    <w:rsid w:val="007C4711"/>
    <w:rsid w:val="007C4795"/>
    <w:rsid w:val="007C47E1"/>
    <w:rsid w:val="007C4DEC"/>
    <w:rsid w:val="007C5C8D"/>
    <w:rsid w:val="007C690F"/>
    <w:rsid w:val="007C709C"/>
    <w:rsid w:val="007C7217"/>
    <w:rsid w:val="007C7698"/>
    <w:rsid w:val="007C79B4"/>
    <w:rsid w:val="007C7DF6"/>
    <w:rsid w:val="007D0043"/>
    <w:rsid w:val="007D009A"/>
    <w:rsid w:val="007D038E"/>
    <w:rsid w:val="007D0C49"/>
    <w:rsid w:val="007D0F47"/>
    <w:rsid w:val="007D10B5"/>
    <w:rsid w:val="007D11DE"/>
    <w:rsid w:val="007D1B96"/>
    <w:rsid w:val="007D367E"/>
    <w:rsid w:val="007D3C46"/>
    <w:rsid w:val="007D447B"/>
    <w:rsid w:val="007D464C"/>
    <w:rsid w:val="007D46DD"/>
    <w:rsid w:val="007D4994"/>
    <w:rsid w:val="007D5663"/>
    <w:rsid w:val="007D591F"/>
    <w:rsid w:val="007D5A0D"/>
    <w:rsid w:val="007D5B4B"/>
    <w:rsid w:val="007D6144"/>
    <w:rsid w:val="007D6791"/>
    <w:rsid w:val="007D6D14"/>
    <w:rsid w:val="007E050A"/>
    <w:rsid w:val="007E0544"/>
    <w:rsid w:val="007E0647"/>
    <w:rsid w:val="007E0893"/>
    <w:rsid w:val="007E08AC"/>
    <w:rsid w:val="007E08BC"/>
    <w:rsid w:val="007E0B59"/>
    <w:rsid w:val="007E171D"/>
    <w:rsid w:val="007E17B3"/>
    <w:rsid w:val="007E1970"/>
    <w:rsid w:val="007E207B"/>
    <w:rsid w:val="007E2AB8"/>
    <w:rsid w:val="007E2C99"/>
    <w:rsid w:val="007E2DC2"/>
    <w:rsid w:val="007E2F2A"/>
    <w:rsid w:val="007E33BE"/>
    <w:rsid w:val="007E34C9"/>
    <w:rsid w:val="007E35CC"/>
    <w:rsid w:val="007E36A2"/>
    <w:rsid w:val="007E4338"/>
    <w:rsid w:val="007E4644"/>
    <w:rsid w:val="007E4DE2"/>
    <w:rsid w:val="007E4E9E"/>
    <w:rsid w:val="007E5603"/>
    <w:rsid w:val="007E60EB"/>
    <w:rsid w:val="007E610B"/>
    <w:rsid w:val="007E687F"/>
    <w:rsid w:val="007E7635"/>
    <w:rsid w:val="007E7C55"/>
    <w:rsid w:val="007F05D3"/>
    <w:rsid w:val="007F0679"/>
    <w:rsid w:val="007F078A"/>
    <w:rsid w:val="007F0B01"/>
    <w:rsid w:val="007F13A0"/>
    <w:rsid w:val="007F140F"/>
    <w:rsid w:val="007F1871"/>
    <w:rsid w:val="007F1895"/>
    <w:rsid w:val="007F19F9"/>
    <w:rsid w:val="007F1B9B"/>
    <w:rsid w:val="007F2240"/>
    <w:rsid w:val="007F29B8"/>
    <w:rsid w:val="007F2F77"/>
    <w:rsid w:val="007F3179"/>
    <w:rsid w:val="007F3923"/>
    <w:rsid w:val="007F3BCD"/>
    <w:rsid w:val="007F3C7D"/>
    <w:rsid w:val="007F3F24"/>
    <w:rsid w:val="007F423A"/>
    <w:rsid w:val="007F43AD"/>
    <w:rsid w:val="007F4B52"/>
    <w:rsid w:val="007F51E6"/>
    <w:rsid w:val="007F5265"/>
    <w:rsid w:val="007F638D"/>
    <w:rsid w:val="007F66DE"/>
    <w:rsid w:val="007F682F"/>
    <w:rsid w:val="007F69D8"/>
    <w:rsid w:val="007F6D66"/>
    <w:rsid w:val="007F6FCE"/>
    <w:rsid w:val="007F77DA"/>
    <w:rsid w:val="007F7853"/>
    <w:rsid w:val="00800367"/>
    <w:rsid w:val="008005AD"/>
    <w:rsid w:val="00800B99"/>
    <w:rsid w:val="00800F86"/>
    <w:rsid w:val="008011C1"/>
    <w:rsid w:val="00802208"/>
    <w:rsid w:val="0080240E"/>
    <w:rsid w:val="00802D8E"/>
    <w:rsid w:val="0080321A"/>
    <w:rsid w:val="008036D1"/>
    <w:rsid w:val="00803795"/>
    <w:rsid w:val="0080411B"/>
    <w:rsid w:val="008042A3"/>
    <w:rsid w:val="00804792"/>
    <w:rsid w:val="00804C29"/>
    <w:rsid w:val="00805411"/>
    <w:rsid w:val="0080579D"/>
    <w:rsid w:val="00805A09"/>
    <w:rsid w:val="00805A6A"/>
    <w:rsid w:val="00805B8B"/>
    <w:rsid w:val="00806295"/>
    <w:rsid w:val="00806E3C"/>
    <w:rsid w:val="00806E96"/>
    <w:rsid w:val="00806E98"/>
    <w:rsid w:val="008078F9"/>
    <w:rsid w:val="00807F95"/>
    <w:rsid w:val="008103E1"/>
    <w:rsid w:val="00810B95"/>
    <w:rsid w:val="00811426"/>
    <w:rsid w:val="00811DA3"/>
    <w:rsid w:val="008124BD"/>
    <w:rsid w:val="008127BF"/>
    <w:rsid w:val="00812985"/>
    <w:rsid w:val="00812ACC"/>
    <w:rsid w:val="00813398"/>
    <w:rsid w:val="008149B5"/>
    <w:rsid w:val="008150EE"/>
    <w:rsid w:val="008157D8"/>
    <w:rsid w:val="00815953"/>
    <w:rsid w:val="00815A12"/>
    <w:rsid w:val="00815CA5"/>
    <w:rsid w:val="0081626B"/>
    <w:rsid w:val="00816473"/>
    <w:rsid w:val="00816872"/>
    <w:rsid w:val="00816B49"/>
    <w:rsid w:val="00817919"/>
    <w:rsid w:val="00817B35"/>
    <w:rsid w:val="00817E70"/>
    <w:rsid w:val="00817FA9"/>
    <w:rsid w:val="00820AAC"/>
    <w:rsid w:val="00820BA4"/>
    <w:rsid w:val="00820D1C"/>
    <w:rsid w:val="00821434"/>
    <w:rsid w:val="00821485"/>
    <w:rsid w:val="00821B2C"/>
    <w:rsid w:val="0082243F"/>
    <w:rsid w:val="0082246E"/>
    <w:rsid w:val="00822A05"/>
    <w:rsid w:val="00822E2E"/>
    <w:rsid w:val="0082312E"/>
    <w:rsid w:val="008234E6"/>
    <w:rsid w:val="008238DC"/>
    <w:rsid w:val="00823E44"/>
    <w:rsid w:val="008240C4"/>
    <w:rsid w:val="00824227"/>
    <w:rsid w:val="00824359"/>
    <w:rsid w:val="00824641"/>
    <w:rsid w:val="008252BD"/>
    <w:rsid w:val="0082562E"/>
    <w:rsid w:val="008256A5"/>
    <w:rsid w:val="008257EA"/>
    <w:rsid w:val="008258F2"/>
    <w:rsid w:val="0082643B"/>
    <w:rsid w:val="008267C5"/>
    <w:rsid w:val="008268E9"/>
    <w:rsid w:val="00826EF4"/>
    <w:rsid w:val="00826F72"/>
    <w:rsid w:val="00827575"/>
    <w:rsid w:val="00827B2A"/>
    <w:rsid w:val="00827BF7"/>
    <w:rsid w:val="00830929"/>
    <w:rsid w:val="00830E2B"/>
    <w:rsid w:val="0083106F"/>
    <w:rsid w:val="008313C3"/>
    <w:rsid w:val="00831911"/>
    <w:rsid w:val="00832194"/>
    <w:rsid w:val="00832435"/>
    <w:rsid w:val="00832569"/>
    <w:rsid w:val="00833253"/>
    <w:rsid w:val="0083331D"/>
    <w:rsid w:val="0083357C"/>
    <w:rsid w:val="0083390A"/>
    <w:rsid w:val="008348F9"/>
    <w:rsid w:val="00834D25"/>
    <w:rsid w:val="00834DAF"/>
    <w:rsid w:val="0083552D"/>
    <w:rsid w:val="00835813"/>
    <w:rsid w:val="00835E14"/>
    <w:rsid w:val="00835EDA"/>
    <w:rsid w:val="00836B4D"/>
    <w:rsid w:val="00836D58"/>
    <w:rsid w:val="00837198"/>
    <w:rsid w:val="00837B4F"/>
    <w:rsid w:val="00837EA5"/>
    <w:rsid w:val="00840C41"/>
    <w:rsid w:val="00841297"/>
    <w:rsid w:val="00841BC0"/>
    <w:rsid w:val="00841C78"/>
    <w:rsid w:val="00841EE4"/>
    <w:rsid w:val="008423D4"/>
    <w:rsid w:val="00842778"/>
    <w:rsid w:val="008427BB"/>
    <w:rsid w:val="008428A3"/>
    <w:rsid w:val="00842BCA"/>
    <w:rsid w:val="00842FFC"/>
    <w:rsid w:val="008437CC"/>
    <w:rsid w:val="0084387A"/>
    <w:rsid w:val="00843986"/>
    <w:rsid w:val="00843DE5"/>
    <w:rsid w:val="00844066"/>
    <w:rsid w:val="008443FD"/>
    <w:rsid w:val="0084471C"/>
    <w:rsid w:val="00844C36"/>
    <w:rsid w:val="00844D73"/>
    <w:rsid w:val="00844FED"/>
    <w:rsid w:val="008457F4"/>
    <w:rsid w:val="00845D25"/>
    <w:rsid w:val="00845ECA"/>
    <w:rsid w:val="008465CF"/>
    <w:rsid w:val="00846A86"/>
    <w:rsid w:val="00846B44"/>
    <w:rsid w:val="00846CB5"/>
    <w:rsid w:val="00846EBD"/>
    <w:rsid w:val="00847640"/>
    <w:rsid w:val="00847712"/>
    <w:rsid w:val="00847773"/>
    <w:rsid w:val="00847B73"/>
    <w:rsid w:val="00847D8B"/>
    <w:rsid w:val="00850745"/>
    <w:rsid w:val="00850EF2"/>
    <w:rsid w:val="00850F13"/>
    <w:rsid w:val="008510BF"/>
    <w:rsid w:val="0085192F"/>
    <w:rsid w:val="00851C0C"/>
    <w:rsid w:val="00851C81"/>
    <w:rsid w:val="008522D4"/>
    <w:rsid w:val="0085246E"/>
    <w:rsid w:val="00853034"/>
    <w:rsid w:val="00853393"/>
    <w:rsid w:val="0085365D"/>
    <w:rsid w:val="0085424E"/>
    <w:rsid w:val="008546A7"/>
    <w:rsid w:val="008551F5"/>
    <w:rsid w:val="00855568"/>
    <w:rsid w:val="00855ECD"/>
    <w:rsid w:val="008561D5"/>
    <w:rsid w:val="008565C5"/>
    <w:rsid w:val="008565F2"/>
    <w:rsid w:val="00856AD4"/>
    <w:rsid w:val="00856F57"/>
    <w:rsid w:val="00857845"/>
    <w:rsid w:val="00857917"/>
    <w:rsid w:val="00857A7B"/>
    <w:rsid w:val="00857BE6"/>
    <w:rsid w:val="00860350"/>
    <w:rsid w:val="00860A0C"/>
    <w:rsid w:val="00860D81"/>
    <w:rsid w:val="008615BC"/>
    <w:rsid w:val="00861E56"/>
    <w:rsid w:val="00861EAF"/>
    <w:rsid w:val="00861F0F"/>
    <w:rsid w:val="0086284F"/>
    <w:rsid w:val="00862EDE"/>
    <w:rsid w:val="00863677"/>
    <w:rsid w:val="0086374C"/>
    <w:rsid w:val="0086379D"/>
    <w:rsid w:val="00863812"/>
    <w:rsid w:val="0086383F"/>
    <w:rsid w:val="00863D57"/>
    <w:rsid w:val="008641AA"/>
    <w:rsid w:val="0086485D"/>
    <w:rsid w:val="0086492E"/>
    <w:rsid w:val="00864B36"/>
    <w:rsid w:val="00865269"/>
    <w:rsid w:val="00865B65"/>
    <w:rsid w:val="00865F2F"/>
    <w:rsid w:val="008669FE"/>
    <w:rsid w:val="00866A28"/>
    <w:rsid w:val="00867311"/>
    <w:rsid w:val="0086738E"/>
    <w:rsid w:val="0086746F"/>
    <w:rsid w:val="008674B0"/>
    <w:rsid w:val="00867562"/>
    <w:rsid w:val="008679DC"/>
    <w:rsid w:val="00867E7C"/>
    <w:rsid w:val="00870406"/>
    <w:rsid w:val="00870504"/>
    <w:rsid w:val="008711B6"/>
    <w:rsid w:val="00871309"/>
    <w:rsid w:val="008716EF"/>
    <w:rsid w:val="008717A5"/>
    <w:rsid w:val="00871819"/>
    <w:rsid w:val="00871D7D"/>
    <w:rsid w:val="008726E9"/>
    <w:rsid w:val="00872804"/>
    <w:rsid w:val="00872CFE"/>
    <w:rsid w:val="00872DF0"/>
    <w:rsid w:val="008731A8"/>
    <w:rsid w:val="00873B9D"/>
    <w:rsid w:val="0087411F"/>
    <w:rsid w:val="008741BC"/>
    <w:rsid w:val="00874322"/>
    <w:rsid w:val="008745D0"/>
    <w:rsid w:val="00874650"/>
    <w:rsid w:val="0087489C"/>
    <w:rsid w:val="008749C0"/>
    <w:rsid w:val="00874E9D"/>
    <w:rsid w:val="008751CF"/>
    <w:rsid w:val="008756DD"/>
    <w:rsid w:val="00875DFE"/>
    <w:rsid w:val="00876846"/>
    <w:rsid w:val="00876918"/>
    <w:rsid w:val="0087697F"/>
    <w:rsid w:val="008772BB"/>
    <w:rsid w:val="00877B75"/>
    <w:rsid w:val="00880B2E"/>
    <w:rsid w:val="00880C89"/>
    <w:rsid w:val="00881143"/>
    <w:rsid w:val="0088151E"/>
    <w:rsid w:val="00881725"/>
    <w:rsid w:val="00881C4A"/>
    <w:rsid w:val="008820D6"/>
    <w:rsid w:val="008821E8"/>
    <w:rsid w:val="0088246B"/>
    <w:rsid w:val="00882A17"/>
    <w:rsid w:val="00882BB4"/>
    <w:rsid w:val="00882D0F"/>
    <w:rsid w:val="0088338E"/>
    <w:rsid w:val="0088340D"/>
    <w:rsid w:val="0088462D"/>
    <w:rsid w:val="0088463D"/>
    <w:rsid w:val="00884C39"/>
    <w:rsid w:val="00884D0B"/>
    <w:rsid w:val="00885233"/>
    <w:rsid w:val="0088574F"/>
    <w:rsid w:val="00885948"/>
    <w:rsid w:val="00885AB4"/>
    <w:rsid w:val="00885B2A"/>
    <w:rsid w:val="00885B5B"/>
    <w:rsid w:val="00886134"/>
    <w:rsid w:val="008867BB"/>
    <w:rsid w:val="00886B52"/>
    <w:rsid w:val="00886BD9"/>
    <w:rsid w:val="0088713D"/>
    <w:rsid w:val="00887630"/>
    <w:rsid w:val="008904FB"/>
    <w:rsid w:val="0089095B"/>
    <w:rsid w:val="00890D16"/>
    <w:rsid w:val="00890F99"/>
    <w:rsid w:val="00891755"/>
    <w:rsid w:val="00891B9F"/>
    <w:rsid w:val="008922D4"/>
    <w:rsid w:val="008927DC"/>
    <w:rsid w:val="008927EE"/>
    <w:rsid w:val="00892D02"/>
    <w:rsid w:val="008947EE"/>
    <w:rsid w:val="0089487A"/>
    <w:rsid w:val="00894F40"/>
    <w:rsid w:val="00895122"/>
    <w:rsid w:val="00895508"/>
    <w:rsid w:val="00895655"/>
    <w:rsid w:val="008957CC"/>
    <w:rsid w:val="00895A93"/>
    <w:rsid w:val="00895BD6"/>
    <w:rsid w:val="00896079"/>
    <w:rsid w:val="008965DF"/>
    <w:rsid w:val="00896E39"/>
    <w:rsid w:val="008970CB"/>
    <w:rsid w:val="0089768B"/>
    <w:rsid w:val="0089768E"/>
    <w:rsid w:val="00897A56"/>
    <w:rsid w:val="00897F99"/>
    <w:rsid w:val="008A01CC"/>
    <w:rsid w:val="008A0206"/>
    <w:rsid w:val="008A032C"/>
    <w:rsid w:val="008A043E"/>
    <w:rsid w:val="008A0714"/>
    <w:rsid w:val="008A0E10"/>
    <w:rsid w:val="008A15B8"/>
    <w:rsid w:val="008A192D"/>
    <w:rsid w:val="008A1A53"/>
    <w:rsid w:val="008A1B3C"/>
    <w:rsid w:val="008A307A"/>
    <w:rsid w:val="008A3794"/>
    <w:rsid w:val="008A3E43"/>
    <w:rsid w:val="008A491D"/>
    <w:rsid w:val="008A4E2B"/>
    <w:rsid w:val="008A5231"/>
    <w:rsid w:val="008A57AF"/>
    <w:rsid w:val="008A6652"/>
    <w:rsid w:val="008A68D3"/>
    <w:rsid w:val="008A69ED"/>
    <w:rsid w:val="008A6A7C"/>
    <w:rsid w:val="008A71C0"/>
    <w:rsid w:val="008A71D9"/>
    <w:rsid w:val="008A73C2"/>
    <w:rsid w:val="008B01EA"/>
    <w:rsid w:val="008B07A4"/>
    <w:rsid w:val="008B0945"/>
    <w:rsid w:val="008B12A4"/>
    <w:rsid w:val="008B1805"/>
    <w:rsid w:val="008B1FB2"/>
    <w:rsid w:val="008B3505"/>
    <w:rsid w:val="008B391B"/>
    <w:rsid w:val="008B3DA7"/>
    <w:rsid w:val="008B3EA5"/>
    <w:rsid w:val="008B3EFD"/>
    <w:rsid w:val="008B4852"/>
    <w:rsid w:val="008B4DCA"/>
    <w:rsid w:val="008B53D6"/>
    <w:rsid w:val="008B54B8"/>
    <w:rsid w:val="008B5C90"/>
    <w:rsid w:val="008B5CD2"/>
    <w:rsid w:val="008B5F60"/>
    <w:rsid w:val="008B61BB"/>
    <w:rsid w:val="008B62A1"/>
    <w:rsid w:val="008B6630"/>
    <w:rsid w:val="008B6B03"/>
    <w:rsid w:val="008B6FC8"/>
    <w:rsid w:val="008B73BD"/>
    <w:rsid w:val="008B7A17"/>
    <w:rsid w:val="008C041B"/>
    <w:rsid w:val="008C0B20"/>
    <w:rsid w:val="008C0D47"/>
    <w:rsid w:val="008C1051"/>
    <w:rsid w:val="008C1971"/>
    <w:rsid w:val="008C1C19"/>
    <w:rsid w:val="008C1CB4"/>
    <w:rsid w:val="008C22F0"/>
    <w:rsid w:val="008C2323"/>
    <w:rsid w:val="008C23C5"/>
    <w:rsid w:val="008C2577"/>
    <w:rsid w:val="008C2602"/>
    <w:rsid w:val="008C2684"/>
    <w:rsid w:val="008C2B6E"/>
    <w:rsid w:val="008C348E"/>
    <w:rsid w:val="008C35CD"/>
    <w:rsid w:val="008C4220"/>
    <w:rsid w:val="008C546B"/>
    <w:rsid w:val="008C5614"/>
    <w:rsid w:val="008C585B"/>
    <w:rsid w:val="008C59C3"/>
    <w:rsid w:val="008C6260"/>
    <w:rsid w:val="008C6658"/>
    <w:rsid w:val="008C7210"/>
    <w:rsid w:val="008C74C1"/>
    <w:rsid w:val="008C773B"/>
    <w:rsid w:val="008C7CCB"/>
    <w:rsid w:val="008C7DC7"/>
    <w:rsid w:val="008D0485"/>
    <w:rsid w:val="008D0A7D"/>
    <w:rsid w:val="008D0E4B"/>
    <w:rsid w:val="008D18A5"/>
    <w:rsid w:val="008D1C97"/>
    <w:rsid w:val="008D1D27"/>
    <w:rsid w:val="008D2E2C"/>
    <w:rsid w:val="008D2F1D"/>
    <w:rsid w:val="008D30CB"/>
    <w:rsid w:val="008D3180"/>
    <w:rsid w:val="008D33C5"/>
    <w:rsid w:val="008D3BF7"/>
    <w:rsid w:val="008D429A"/>
    <w:rsid w:val="008D429B"/>
    <w:rsid w:val="008D4535"/>
    <w:rsid w:val="008D4727"/>
    <w:rsid w:val="008D4784"/>
    <w:rsid w:val="008D47BC"/>
    <w:rsid w:val="008D48BC"/>
    <w:rsid w:val="008D5124"/>
    <w:rsid w:val="008D51BA"/>
    <w:rsid w:val="008D5706"/>
    <w:rsid w:val="008D6281"/>
    <w:rsid w:val="008D6954"/>
    <w:rsid w:val="008D6A7D"/>
    <w:rsid w:val="008D7081"/>
    <w:rsid w:val="008D7198"/>
    <w:rsid w:val="008D75F7"/>
    <w:rsid w:val="008D7B61"/>
    <w:rsid w:val="008D7C8B"/>
    <w:rsid w:val="008E055E"/>
    <w:rsid w:val="008E0E15"/>
    <w:rsid w:val="008E0F54"/>
    <w:rsid w:val="008E0F7F"/>
    <w:rsid w:val="008E114C"/>
    <w:rsid w:val="008E1850"/>
    <w:rsid w:val="008E1969"/>
    <w:rsid w:val="008E1BE5"/>
    <w:rsid w:val="008E1D19"/>
    <w:rsid w:val="008E1D76"/>
    <w:rsid w:val="008E23CA"/>
    <w:rsid w:val="008E2892"/>
    <w:rsid w:val="008E2AD7"/>
    <w:rsid w:val="008E2D76"/>
    <w:rsid w:val="008E51F7"/>
    <w:rsid w:val="008E5C9A"/>
    <w:rsid w:val="008E62BA"/>
    <w:rsid w:val="008E6304"/>
    <w:rsid w:val="008E6805"/>
    <w:rsid w:val="008E6943"/>
    <w:rsid w:val="008E69AA"/>
    <w:rsid w:val="008E6CCC"/>
    <w:rsid w:val="008E731B"/>
    <w:rsid w:val="008E749B"/>
    <w:rsid w:val="008E7DB0"/>
    <w:rsid w:val="008F06AC"/>
    <w:rsid w:val="008F0C55"/>
    <w:rsid w:val="008F11B3"/>
    <w:rsid w:val="008F16B5"/>
    <w:rsid w:val="008F1848"/>
    <w:rsid w:val="008F2906"/>
    <w:rsid w:val="008F2F05"/>
    <w:rsid w:val="008F32A4"/>
    <w:rsid w:val="008F3417"/>
    <w:rsid w:val="008F3613"/>
    <w:rsid w:val="008F3664"/>
    <w:rsid w:val="008F3BE7"/>
    <w:rsid w:val="008F436F"/>
    <w:rsid w:val="008F45FE"/>
    <w:rsid w:val="008F4CA4"/>
    <w:rsid w:val="008F4EF7"/>
    <w:rsid w:val="008F598E"/>
    <w:rsid w:val="008F5ACB"/>
    <w:rsid w:val="008F5B3F"/>
    <w:rsid w:val="008F63FF"/>
    <w:rsid w:val="008F6618"/>
    <w:rsid w:val="008F667E"/>
    <w:rsid w:val="008F67DB"/>
    <w:rsid w:val="008F6A21"/>
    <w:rsid w:val="008F75E5"/>
    <w:rsid w:val="008F7635"/>
    <w:rsid w:val="008F7B43"/>
    <w:rsid w:val="008F7D30"/>
    <w:rsid w:val="00900330"/>
    <w:rsid w:val="0090043C"/>
    <w:rsid w:val="00900E4B"/>
    <w:rsid w:val="009017E7"/>
    <w:rsid w:val="009019B3"/>
    <w:rsid w:val="00901A50"/>
    <w:rsid w:val="00901CC5"/>
    <w:rsid w:val="009027FC"/>
    <w:rsid w:val="00902960"/>
    <w:rsid w:val="009029DD"/>
    <w:rsid w:val="00902A41"/>
    <w:rsid w:val="0090322F"/>
    <w:rsid w:val="00903313"/>
    <w:rsid w:val="00903B34"/>
    <w:rsid w:val="0090459A"/>
    <w:rsid w:val="00904CD2"/>
    <w:rsid w:val="00904F66"/>
    <w:rsid w:val="00904FA3"/>
    <w:rsid w:val="0090514D"/>
    <w:rsid w:val="00905169"/>
    <w:rsid w:val="009058FD"/>
    <w:rsid w:val="00905CF4"/>
    <w:rsid w:val="00905ECB"/>
    <w:rsid w:val="00906C7E"/>
    <w:rsid w:val="00907219"/>
    <w:rsid w:val="00907D30"/>
    <w:rsid w:val="00907E95"/>
    <w:rsid w:val="00907EE1"/>
    <w:rsid w:val="00907F17"/>
    <w:rsid w:val="00907FDA"/>
    <w:rsid w:val="009106DF"/>
    <w:rsid w:val="009113A4"/>
    <w:rsid w:val="00911635"/>
    <w:rsid w:val="0091171B"/>
    <w:rsid w:val="00911B06"/>
    <w:rsid w:val="00911C93"/>
    <w:rsid w:val="00911CB1"/>
    <w:rsid w:val="00911F69"/>
    <w:rsid w:val="00912338"/>
    <w:rsid w:val="009128B1"/>
    <w:rsid w:val="00912BCD"/>
    <w:rsid w:val="00912D5A"/>
    <w:rsid w:val="00912E1B"/>
    <w:rsid w:val="00912EE5"/>
    <w:rsid w:val="009138F6"/>
    <w:rsid w:val="009139D3"/>
    <w:rsid w:val="00913BDE"/>
    <w:rsid w:val="00913D0C"/>
    <w:rsid w:val="00913D58"/>
    <w:rsid w:val="00913FA1"/>
    <w:rsid w:val="00914063"/>
    <w:rsid w:val="009151BB"/>
    <w:rsid w:val="00915695"/>
    <w:rsid w:val="00915734"/>
    <w:rsid w:val="00915851"/>
    <w:rsid w:val="0091591F"/>
    <w:rsid w:val="00915D4D"/>
    <w:rsid w:val="009164DD"/>
    <w:rsid w:val="009164F8"/>
    <w:rsid w:val="00917564"/>
    <w:rsid w:val="009176CE"/>
    <w:rsid w:val="0091788B"/>
    <w:rsid w:val="009178EA"/>
    <w:rsid w:val="00917FD0"/>
    <w:rsid w:val="00920DEA"/>
    <w:rsid w:val="00920E42"/>
    <w:rsid w:val="0092150C"/>
    <w:rsid w:val="009219BF"/>
    <w:rsid w:val="00921B08"/>
    <w:rsid w:val="00921EB7"/>
    <w:rsid w:val="009220C5"/>
    <w:rsid w:val="00922433"/>
    <w:rsid w:val="009226F6"/>
    <w:rsid w:val="00922CEC"/>
    <w:rsid w:val="009230C2"/>
    <w:rsid w:val="00923119"/>
    <w:rsid w:val="009232E1"/>
    <w:rsid w:val="0092364D"/>
    <w:rsid w:val="009239A2"/>
    <w:rsid w:val="00924187"/>
    <w:rsid w:val="009244EE"/>
    <w:rsid w:val="0092463C"/>
    <w:rsid w:val="00924B72"/>
    <w:rsid w:val="00924BB2"/>
    <w:rsid w:val="00924FCB"/>
    <w:rsid w:val="0092555F"/>
    <w:rsid w:val="00925583"/>
    <w:rsid w:val="00925BBF"/>
    <w:rsid w:val="00925FC7"/>
    <w:rsid w:val="00926181"/>
    <w:rsid w:val="0092637B"/>
    <w:rsid w:val="009264D0"/>
    <w:rsid w:val="0092674F"/>
    <w:rsid w:val="00926835"/>
    <w:rsid w:val="009269DA"/>
    <w:rsid w:val="00926BB1"/>
    <w:rsid w:val="00926E04"/>
    <w:rsid w:val="009270EC"/>
    <w:rsid w:val="00927348"/>
    <w:rsid w:val="0092761B"/>
    <w:rsid w:val="00927667"/>
    <w:rsid w:val="0092799A"/>
    <w:rsid w:val="00927AC4"/>
    <w:rsid w:val="00927AED"/>
    <w:rsid w:val="00927D11"/>
    <w:rsid w:val="0093010B"/>
    <w:rsid w:val="0093025C"/>
    <w:rsid w:val="00930C5C"/>
    <w:rsid w:val="00930D25"/>
    <w:rsid w:val="00930EDA"/>
    <w:rsid w:val="00931119"/>
    <w:rsid w:val="00931369"/>
    <w:rsid w:val="00931FDF"/>
    <w:rsid w:val="009320B1"/>
    <w:rsid w:val="00932279"/>
    <w:rsid w:val="00932576"/>
    <w:rsid w:val="00932B9B"/>
    <w:rsid w:val="0093369C"/>
    <w:rsid w:val="00933B9D"/>
    <w:rsid w:val="009343D5"/>
    <w:rsid w:val="00934BB0"/>
    <w:rsid w:val="009350E1"/>
    <w:rsid w:val="0093562C"/>
    <w:rsid w:val="00936238"/>
    <w:rsid w:val="00936577"/>
    <w:rsid w:val="00937734"/>
    <w:rsid w:val="00937957"/>
    <w:rsid w:val="00940127"/>
    <w:rsid w:val="009405C0"/>
    <w:rsid w:val="009408E1"/>
    <w:rsid w:val="009410E3"/>
    <w:rsid w:val="009419CD"/>
    <w:rsid w:val="00941B59"/>
    <w:rsid w:val="00941ED2"/>
    <w:rsid w:val="00941FE1"/>
    <w:rsid w:val="0094200B"/>
    <w:rsid w:val="00942025"/>
    <w:rsid w:val="0094291C"/>
    <w:rsid w:val="00942AB5"/>
    <w:rsid w:val="009435D1"/>
    <w:rsid w:val="00943A70"/>
    <w:rsid w:val="00943C2C"/>
    <w:rsid w:val="00943DE5"/>
    <w:rsid w:val="009443FF"/>
    <w:rsid w:val="0094471C"/>
    <w:rsid w:val="009447A5"/>
    <w:rsid w:val="00944BE0"/>
    <w:rsid w:val="00944DDC"/>
    <w:rsid w:val="00945435"/>
    <w:rsid w:val="009455FF"/>
    <w:rsid w:val="00945F77"/>
    <w:rsid w:val="0094612C"/>
    <w:rsid w:val="009474A8"/>
    <w:rsid w:val="00947C74"/>
    <w:rsid w:val="00947ED9"/>
    <w:rsid w:val="00950222"/>
    <w:rsid w:val="00950342"/>
    <w:rsid w:val="009510FC"/>
    <w:rsid w:val="00951533"/>
    <w:rsid w:val="00951688"/>
    <w:rsid w:val="00951965"/>
    <w:rsid w:val="00951D42"/>
    <w:rsid w:val="00951F5D"/>
    <w:rsid w:val="009521D6"/>
    <w:rsid w:val="009524D0"/>
    <w:rsid w:val="00952974"/>
    <w:rsid w:val="009529D7"/>
    <w:rsid w:val="0095326C"/>
    <w:rsid w:val="00954335"/>
    <w:rsid w:val="009551D6"/>
    <w:rsid w:val="00955B33"/>
    <w:rsid w:val="009560D1"/>
    <w:rsid w:val="00956A0D"/>
    <w:rsid w:val="00956AA1"/>
    <w:rsid w:val="00956DB0"/>
    <w:rsid w:val="00957C94"/>
    <w:rsid w:val="00957DF8"/>
    <w:rsid w:val="0096015C"/>
    <w:rsid w:val="0096065F"/>
    <w:rsid w:val="00960724"/>
    <w:rsid w:val="00961EE8"/>
    <w:rsid w:val="00962169"/>
    <w:rsid w:val="009621B4"/>
    <w:rsid w:val="00962358"/>
    <w:rsid w:val="00962683"/>
    <w:rsid w:val="00962A2F"/>
    <w:rsid w:val="00962BAD"/>
    <w:rsid w:val="00962F1C"/>
    <w:rsid w:val="009634B1"/>
    <w:rsid w:val="00963840"/>
    <w:rsid w:val="00963AE8"/>
    <w:rsid w:val="00963C74"/>
    <w:rsid w:val="00963E8A"/>
    <w:rsid w:val="0096407C"/>
    <w:rsid w:val="00964231"/>
    <w:rsid w:val="00964772"/>
    <w:rsid w:val="00964A50"/>
    <w:rsid w:val="00964D42"/>
    <w:rsid w:val="009650A8"/>
    <w:rsid w:val="009653C6"/>
    <w:rsid w:val="00965E39"/>
    <w:rsid w:val="00966DF5"/>
    <w:rsid w:val="00967B96"/>
    <w:rsid w:val="00967C47"/>
    <w:rsid w:val="0097028B"/>
    <w:rsid w:val="009702B6"/>
    <w:rsid w:val="00970A01"/>
    <w:rsid w:val="009712A3"/>
    <w:rsid w:val="00971359"/>
    <w:rsid w:val="00971441"/>
    <w:rsid w:val="00971B8C"/>
    <w:rsid w:val="009722C8"/>
    <w:rsid w:val="00972984"/>
    <w:rsid w:val="00972EF8"/>
    <w:rsid w:val="009735AB"/>
    <w:rsid w:val="00973600"/>
    <w:rsid w:val="009738D5"/>
    <w:rsid w:val="00973DAC"/>
    <w:rsid w:val="00974580"/>
    <w:rsid w:val="00974A76"/>
    <w:rsid w:val="00974D19"/>
    <w:rsid w:val="009751D3"/>
    <w:rsid w:val="00975334"/>
    <w:rsid w:val="00975CCF"/>
    <w:rsid w:val="0097604B"/>
    <w:rsid w:val="00976178"/>
    <w:rsid w:val="009765FA"/>
    <w:rsid w:val="009766A9"/>
    <w:rsid w:val="00976DC8"/>
    <w:rsid w:val="00976E7E"/>
    <w:rsid w:val="00977603"/>
    <w:rsid w:val="009776FF"/>
    <w:rsid w:val="00977B7D"/>
    <w:rsid w:val="00980052"/>
    <w:rsid w:val="009803F4"/>
    <w:rsid w:val="009804E2"/>
    <w:rsid w:val="00981854"/>
    <w:rsid w:val="009818A4"/>
    <w:rsid w:val="0098293D"/>
    <w:rsid w:val="009829EE"/>
    <w:rsid w:val="00982CE8"/>
    <w:rsid w:val="00983340"/>
    <w:rsid w:val="00983AA7"/>
    <w:rsid w:val="00983CD0"/>
    <w:rsid w:val="00984125"/>
    <w:rsid w:val="00984C86"/>
    <w:rsid w:val="00984EEC"/>
    <w:rsid w:val="0098520E"/>
    <w:rsid w:val="00985265"/>
    <w:rsid w:val="0098532A"/>
    <w:rsid w:val="00985B15"/>
    <w:rsid w:val="00986571"/>
    <w:rsid w:val="009867A3"/>
    <w:rsid w:val="00987164"/>
    <w:rsid w:val="009875F3"/>
    <w:rsid w:val="00987881"/>
    <w:rsid w:val="009879C7"/>
    <w:rsid w:val="00987C5B"/>
    <w:rsid w:val="009901CB"/>
    <w:rsid w:val="0099061F"/>
    <w:rsid w:val="009911B6"/>
    <w:rsid w:val="0099123E"/>
    <w:rsid w:val="00991473"/>
    <w:rsid w:val="0099178B"/>
    <w:rsid w:val="00991946"/>
    <w:rsid w:val="00991BAC"/>
    <w:rsid w:val="00992364"/>
    <w:rsid w:val="00992612"/>
    <w:rsid w:val="00992C23"/>
    <w:rsid w:val="00993A33"/>
    <w:rsid w:val="009945CC"/>
    <w:rsid w:val="00994C2A"/>
    <w:rsid w:val="009957E6"/>
    <w:rsid w:val="00995B0C"/>
    <w:rsid w:val="00995BBA"/>
    <w:rsid w:val="00995BC4"/>
    <w:rsid w:val="00995D08"/>
    <w:rsid w:val="00995E66"/>
    <w:rsid w:val="00995F14"/>
    <w:rsid w:val="009968CF"/>
    <w:rsid w:val="00996BAD"/>
    <w:rsid w:val="00996CE2"/>
    <w:rsid w:val="00996E22"/>
    <w:rsid w:val="00997042"/>
    <w:rsid w:val="009972FB"/>
    <w:rsid w:val="00997657"/>
    <w:rsid w:val="009976FE"/>
    <w:rsid w:val="00997ABC"/>
    <w:rsid w:val="009A04B8"/>
    <w:rsid w:val="009A0740"/>
    <w:rsid w:val="009A0B09"/>
    <w:rsid w:val="009A0F3A"/>
    <w:rsid w:val="009A102A"/>
    <w:rsid w:val="009A18BF"/>
    <w:rsid w:val="009A1F54"/>
    <w:rsid w:val="009A1FCA"/>
    <w:rsid w:val="009A2827"/>
    <w:rsid w:val="009A2919"/>
    <w:rsid w:val="009A2DE0"/>
    <w:rsid w:val="009A3775"/>
    <w:rsid w:val="009A3803"/>
    <w:rsid w:val="009A3878"/>
    <w:rsid w:val="009A3DE6"/>
    <w:rsid w:val="009A558C"/>
    <w:rsid w:val="009A5632"/>
    <w:rsid w:val="009A5805"/>
    <w:rsid w:val="009A5A8A"/>
    <w:rsid w:val="009A6C1D"/>
    <w:rsid w:val="009A7B0D"/>
    <w:rsid w:val="009A7F96"/>
    <w:rsid w:val="009B0071"/>
    <w:rsid w:val="009B01EE"/>
    <w:rsid w:val="009B0781"/>
    <w:rsid w:val="009B108B"/>
    <w:rsid w:val="009B19C6"/>
    <w:rsid w:val="009B1A0A"/>
    <w:rsid w:val="009B290B"/>
    <w:rsid w:val="009B2EDF"/>
    <w:rsid w:val="009B357C"/>
    <w:rsid w:val="009B36A2"/>
    <w:rsid w:val="009B3B87"/>
    <w:rsid w:val="009B5149"/>
    <w:rsid w:val="009B5CB0"/>
    <w:rsid w:val="009B5E9B"/>
    <w:rsid w:val="009B6048"/>
    <w:rsid w:val="009B63A2"/>
    <w:rsid w:val="009B66D2"/>
    <w:rsid w:val="009B6AEF"/>
    <w:rsid w:val="009B6EDE"/>
    <w:rsid w:val="009B71FA"/>
    <w:rsid w:val="009B7223"/>
    <w:rsid w:val="009C0788"/>
    <w:rsid w:val="009C0991"/>
    <w:rsid w:val="009C1011"/>
    <w:rsid w:val="009C14EF"/>
    <w:rsid w:val="009C184A"/>
    <w:rsid w:val="009C1A4E"/>
    <w:rsid w:val="009C1C58"/>
    <w:rsid w:val="009C20D8"/>
    <w:rsid w:val="009C22A0"/>
    <w:rsid w:val="009C2592"/>
    <w:rsid w:val="009C2DED"/>
    <w:rsid w:val="009C3034"/>
    <w:rsid w:val="009C3337"/>
    <w:rsid w:val="009C33C1"/>
    <w:rsid w:val="009C423D"/>
    <w:rsid w:val="009C43DA"/>
    <w:rsid w:val="009C44E2"/>
    <w:rsid w:val="009C45EB"/>
    <w:rsid w:val="009C4729"/>
    <w:rsid w:val="009C4939"/>
    <w:rsid w:val="009C540A"/>
    <w:rsid w:val="009C544F"/>
    <w:rsid w:val="009C600B"/>
    <w:rsid w:val="009C6128"/>
    <w:rsid w:val="009C636C"/>
    <w:rsid w:val="009C6CF3"/>
    <w:rsid w:val="009C74EA"/>
    <w:rsid w:val="009C79D7"/>
    <w:rsid w:val="009C7BC7"/>
    <w:rsid w:val="009C7BD2"/>
    <w:rsid w:val="009C7EEE"/>
    <w:rsid w:val="009D074E"/>
    <w:rsid w:val="009D0E1D"/>
    <w:rsid w:val="009D1498"/>
    <w:rsid w:val="009D1781"/>
    <w:rsid w:val="009D1800"/>
    <w:rsid w:val="009D1801"/>
    <w:rsid w:val="009D1AC9"/>
    <w:rsid w:val="009D1AE2"/>
    <w:rsid w:val="009D1B57"/>
    <w:rsid w:val="009D1F8A"/>
    <w:rsid w:val="009D1F91"/>
    <w:rsid w:val="009D219E"/>
    <w:rsid w:val="009D29F0"/>
    <w:rsid w:val="009D347B"/>
    <w:rsid w:val="009D39BE"/>
    <w:rsid w:val="009D41E6"/>
    <w:rsid w:val="009D427D"/>
    <w:rsid w:val="009D44A7"/>
    <w:rsid w:val="009D4630"/>
    <w:rsid w:val="009D4691"/>
    <w:rsid w:val="009D49E3"/>
    <w:rsid w:val="009D4BD6"/>
    <w:rsid w:val="009D5088"/>
    <w:rsid w:val="009D529E"/>
    <w:rsid w:val="009D5590"/>
    <w:rsid w:val="009D5E7D"/>
    <w:rsid w:val="009D5F48"/>
    <w:rsid w:val="009D6623"/>
    <w:rsid w:val="009D679A"/>
    <w:rsid w:val="009D68DB"/>
    <w:rsid w:val="009D7048"/>
    <w:rsid w:val="009D7108"/>
    <w:rsid w:val="009D7574"/>
    <w:rsid w:val="009D7B08"/>
    <w:rsid w:val="009E0583"/>
    <w:rsid w:val="009E0814"/>
    <w:rsid w:val="009E29BA"/>
    <w:rsid w:val="009E2A99"/>
    <w:rsid w:val="009E2F81"/>
    <w:rsid w:val="009E38C7"/>
    <w:rsid w:val="009E4B69"/>
    <w:rsid w:val="009E4C11"/>
    <w:rsid w:val="009E4CE5"/>
    <w:rsid w:val="009E4FD0"/>
    <w:rsid w:val="009E5232"/>
    <w:rsid w:val="009E5734"/>
    <w:rsid w:val="009E582E"/>
    <w:rsid w:val="009E5C95"/>
    <w:rsid w:val="009E6150"/>
    <w:rsid w:val="009E61BF"/>
    <w:rsid w:val="009E6454"/>
    <w:rsid w:val="009E68E6"/>
    <w:rsid w:val="009E6E0F"/>
    <w:rsid w:val="009E6E13"/>
    <w:rsid w:val="009E6E90"/>
    <w:rsid w:val="009E6F4F"/>
    <w:rsid w:val="009E72F3"/>
    <w:rsid w:val="009E7347"/>
    <w:rsid w:val="009E79A8"/>
    <w:rsid w:val="009E7A3D"/>
    <w:rsid w:val="009E7DBD"/>
    <w:rsid w:val="009F0274"/>
    <w:rsid w:val="009F129D"/>
    <w:rsid w:val="009F131D"/>
    <w:rsid w:val="009F1E37"/>
    <w:rsid w:val="009F22AA"/>
    <w:rsid w:val="009F3401"/>
    <w:rsid w:val="009F3B23"/>
    <w:rsid w:val="009F3B57"/>
    <w:rsid w:val="009F3CDF"/>
    <w:rsid w:val="009F3DB4"/>
    <w:rsid w:val="009F3E68"/>
    <w:rsid w:val="009F40D3"/>
    <w:rsid w:val="009F4579"/>
    <w:rsid w:val="009F48E2"/>
    <w:rsid w:val="009F4CFC"/>
    <w:rsid w:val="009F4ED6"/>
    <w:rsid w:val="009F55E6"/>
    <w:rsid w:val="009F5817"/>
    <w:rsid w:val="009F593D"/>
    <w:rsid w:val="009F5A62"/>
    <w:rsid w:val="009F5CAD"/>
    <w:rsid w:val="009F6A79"/>
    <w:rsid w:val="009F6BE8"/>
    <w:rsid w:val="009F6F68"/>
    <w:rsid w:val="009F7066"/>
    <w:rsid w:val="009F71EA"/>
    <w:rsid w:val="009F7478"/>
    <w:rsid w:val="009F79CA"/>
    <w:rsid w:val="00A00A8C"/>
    <w:rsid w:val="00A00CD5"/>
    <w:rsid w:val="00A00D7D"/>
    <w:rsid w:val="00A012C9"/>
    <w:rsid w:val="00A01BA9"/>
    <w:rsid w:val="00A01CD2"/>
    <w:rsid w:val="00A028E6"/>
    <w:rsid w:val="00A02A64"/>
    <w:rsid w:val="00A02C17"/>
    <w:rsid w:val="00A02E41"/>
    <w:rsid w:val="00A04600"/>
    <w:rsid w:val="00A04632"/>
    <w:rsid w:val="00A04729"/>
    <w:rsid w:val="00A047CB"/>
    <w:rsid w:val="00A04BE8"/>
    <w:rsid w:val="00A05168"/>
    <w:rsid w:val="00A0529A"/>
    <w:rsid w:val="00A05B23"/>
    <w:rsid w:val="00A06369"/>
    <w:rsid w:val="00A06D3C"/>
    <w:rsid w:val="00A070B1"/>
    <w:rsid w:val="00A07157"/>
    <w:rsid w:val="00A0730A"/>
    <w:rsid w:val="00A0732B"/>
    <w:rsid w:val="00A073DD"/>
    <w:rsid w:val="00A07515"/>
    <w:rsid w:val="00A076A5"/>
    <w:rsid w:val="00A07AFD"/>
    <w:rsid w:val="00A107CF"/>
    <w:rsid w:val="00A10AB7"/>
    <w:rsid w:val="00A10B04"/>
    <w:rsid w:val="00A113F2"/>
    <w:rsid w:val="00A11569"/>
    <w:rsid w:val="00A115CB"/>
    <w:rsid w:val="00A11B33"/>
    <w:rsid w:val="00A120D1"/>
    <w:rsid w:val="00A12747"/>
    <w:rsid w:val="00A12850"/>
    <w:rsid w:val="00A12AA9"/>
    <w:rsid w:val="00A12B27"/>
    <w:rsid w:val="00A1320A"/>
    <w:rsid w:val="00A137D4"/>
    <w:rsid w:val="00A13F76"/>
    <w:rsid w:val="00A149ED"/>
    <w:rsid w:val="00A14AA7"/>
    <w:rsid w:val="00A14C9B"/>
    <w:rsid w:val="00A15AB4"/>
    <w:rsid w:val="00A15BA4"/>
    <w:rsid w:val="00A16057"/>
    <w:rsid w:val="00A162A8"/>
    <w:rsid w:val="00A16704"/>
    <w:rsid w:val="00A16AF4"/>
    <w:rsid w:val="00A16B7D"/>
    <w:rsid w:val="00A1763A"/>
    <w:rsid w:val="00A17810"/>
    <w:rsid w:val="00A17816"/>
    <w:rsid w:val="00A17D04"/>
    <w:rsid w:val="00A17D11"/>
    <w:rsid w:val="00A20939"/>
    <w:rsid w:val="00A210EF"/>
    <w:rsid w:val="00A218F8"/>
    <w:rsid w:val="00A22030"/>
    <w:rsid w:val="00A227B0"/>
    <w:rsid w:val="00A2405E"/>
    <w:rsid w:val="00A241A8"/>
    <w:rsid w:val="00A241D7"/>
    <w:rsid w:val="00A24373"/>
    <w:rsid w:val="00A24889"/>
    <w:rsid w:val="00A24BA3"/>
    <w:rsid w:val="00A25221"/>
    <w:rsid w:val="00A2527B"/>
    <w:rsid w:val="00A25404"/>
    <w:rsid w:val="00A25621"/>
    <w:rsid w:val="00A25931"/>
    <w:rsid w:val="00A25D55"/>
    <w:rsid w:val="00A26118"/>
    <w:rsid w:val="00A263A9"/>
    <w:rsid w:val="00A264A8"/>
    <w:rsid w:val="00A267F2"/>
    <w:rsid w:val="00A269AE"/>
    <w:rsid w:val="00A26E64"/>
    <w:rsid w:val="00A27117"/>
    <w:rsid w:val="00A271B9"/>
    <w:rsid w:val="00A273FC"/>
    <w:rsid w:val="00A27A03"/>
    <w:rsid w:val="00A27BCB"/>
    <w:rsid w:val="00A305C9"/>
    <w:rsid w:val="00A30BB2"/>
    <w:rsid w:val="00A30E91"/>
    <w:rsid w:val="00A30F22"/>
    <w:rsid w:val="00A3104A"/>
    <w:rsid w:val="00A31451"/>
    <w:rsid w:val="00A3161B"/>
    <w:rsid w:val="00A31A93"/>
    <w:rsid w:val="00A31DB2"/>
    <w:rsid w:val="00A32063"/>
    <w:rsid w:val="00A321F8"/>
    <w:rsid w:val="00A327BD"/>
    <w:rsid w:val="00A33100"/>
    <w:rsid w:val="00A33B8D"/>
    <w:rsid w:val="00A33DCF"/>
    <w:rsid w:val="00A34624"/>
    <w:rsid w:val="00A34EEE"/>
    <w:rsid w:val="00A3505B"/>
    <w:rsid w:val="00A35147"/>
    <w:rsid w:val="00A35155"/>
    <w:rsid w:val="00A35E13"/>
    <w:rsid w:val="00A3641A"/>
    <w:rsid w:val="00A36994"/>
    <w:rsid w:val="00A36FBE"/>
    <w:rsid w:val="00A3706F"/>
    <w:rsid w:val="00A37CFF"/>
    <w:rsid w:val="00A40033"/>
    <w:rsid w:val="00A400DA"/>
    <w:rsid w:val="00A40B2A"/>
    <w:rsid w:val="00A41081"/>
    <w:rsid w:val="00A41149"/>
    <w:rsid w:val="00A4136E"/>
    <w:rsid w:val="00A4144E"/>
    <w:rsid w:val="00A4196B"/>
    <w:rsid w:val="00A41D65"/>
    <w:rsid w:val="00A4208F"/>
    <w:rsid w:val="00A4264F"/>
    <w:rsid w:val="00A42912"/>
    <w:rsid w:val="00A4369B"/>
    <w:rsid w:val="00A44329"/>
    <w:rsid w:val="00A4459E"/>
    <w:rsid w:val="00A44E09"/>
    <w:rsid w:val="00A4535D"/>
    <w:rsid w:val="00A454D3"/>
    <w:rsid w:val="00A45B38"/>
    <w:rsid w:val="00A45E88"/>
    <w:rsid w:val="00A462C9"/>
    <w:rsid w:val="00A46605"/>
    <w:rsid w:val="00A468ED"/>
    <w:rsid w:val="00A46921"/>
    <w:rsid w:val="00A46939"/>
    <w:rsid w:val="00A46EC7"/>
    <w:rsid w:val="00A46FA6"/>
    <w:rsid w:val="00A46FFD"/>
    <w:rsid w:val="00A4742F"/>
    <w:rsid w:val="00A4745A"/>
    <w:rsid w:val="00A47C44"/>
    <w:rsid w:val="00A47FCF"/>
    <w:rsid w:val="00A50680"/>
    <w:rsid w:val="00A50ACE"/>
    <w:rsid w:val="00A50B91"/>
    <w:rsid w:val="00A50B94"/>
    <w:rsid w:val="00A50EBA"/>
    <w:rsid w:val="00A51076"/>
    <w:rsid w:val="00A51B63"/>
    <w:rsid w:val="00A51BF7"/>
    <w:rsid w:val="00A51D22"/>
    <w:rsid w:val="00A522B1"/>
    <w:rsid w:val="00A52584"/>
    <w:rsid w:val="00A52A5F"/>
    <w:rsid w:val="00A52AC9"/>
    <w:rsid w:val="00A5431F"/>
    <w:rsid w:val="00A5459E"/>
    <w:rsid w:val="00A545BB"/>
    <w:rsid w:val="00A546DE"/>
    <w:rsid w:val="00A5470A"/>
    <w:rsid w:val="00A547A4"/>
    <w:rsid w:val="00A54DAD"/>
    <w:rsid w:val="00A54FF8"/>
    <w:rsid w:val="00A5506A"/>
    <w:rsid w:val="00A55EDC"/>
    <w:rsid w:val="00A5619E"/>
    <w:rsid w:val="00A56264"/>
    <w:rsid w:val="00A56335"/>
    <w:rsid w:val="00A568FD"/>
    <w:rsid w:val="00A5690F"/>
    <w:rsid w:val="00A56976"/>
    <w:rsid w:val="00A56A3F"/>
    <w:rsid w:val="00A56F8A"/>
    <w:rsid w:val="00A570C6"/>
    <w:rsid w:val="00A570E2"/>
    <w:rsid w:val="00A57500"/>
    <w:rsid w:val="00A57529"/>
    <w:rsid w:val="00A578CF"/>
    <w:rsid w:val="00A57A57"/>
    <w:rsid w:val="00A57C86"/>
    <w:rsid w:val="00A6005B"/>
    <w:rsid w:val="00A60151"/>
    <w:rsid w:val="00A601EF"/>
    <w:rsid w:val="00A609EF"/>
    <w:rsid w:val="00A60FBC"/>
    <w:rsid w:val="00A61343"/>
    <w:rsid w:val="00A61570"/>
    <w:rsid w:val="00A6192F"/>
    <w:rsid w:val="00A61DE4"/>
    <w:rsid w:val="00A61F6A"/>
    <w:rsid w:val="00A62133"/>
    <w:rsid w:val="00A623DC"/>
    <w:rsid w:val="00A62586"/>
    <w:rsid w:val="00A62B68"/>
    <w:rsid w:val="00A631C9"/>
    <w:rsid w:val="00A63446"/>
    <w:rsid w:val="00A63A66"/>
    <w:rsid w:val="00A63C36"/>
    <w:rsid w:val="00A63D8B"/>
    <w:rsid w:val="00A64058"/>
    <w:rsid w:val="00A641AF"/>
    <w:rsid w:val="00A641F8"/>
    <w:rsid w:val="00A64348"/>
    <w:rsid w:val="00A6434A"/>
    <w:rsid w:val="00A64381"/>
    <w:rsid w:val="00A64953"/>
    <w:rsid w:val="00A64B09"/>
    <w:rsid w:val="00A64B64"/>
    <w:rsid w:val="00A64E01"/>
    <w:rsid w:val="00A6549E"/>
    <w:rsid w:val="00A65782"/>
    <w:rsid w:val="00A65B8D"/>
    <w:rsid w:val="00A66B18"/>
    <w:rsid w:val="00A6709F"/>
    <w:rsid w:val="00A67819"/>
    <w:rsid w:val="00A67821"/>
    <w:rsid w:val="00A7046D"/>
    <w:rsid w:val="00A70A87"/>
    <w:rsid w:val="00A711D6"/>
    <w:rsid w:val="00A71827"/>
    <w:rsid w:val="00A71C2C"/>
    <w:rsid w:val="00A71E98"/>
    <w:rsid w:val="00A721B0"/>
    <w:rsid w:val="00A721E4"/>
    <w:rsid w:val="00A72623"/>
    <w:rsid w:val="00A72A4B"/>
    <w:rsid w:val="00A72DC6"/>
    <w:rsid w:val="00A72FD3"/>
    <w:rsid w:val="00A73718"/>
    <w:rsid w:val="00A73A19"/>
    <w:rsid w:val="00A74C0D"/>
    <w:rsid w:val="00A75254"/>
    <w:rsid w:val="00A754C2"/>
    <w:rsid w:val="00A75958"/>
    <w:rsid w:val="00A75981"/>
    <w:rsid w:val="00A759F9"/>
    <w:rsid w:val="00A75C3F"/>
    <w:rsid w:val="00A75C6E"/>
    <w:rsid w:val="00A761C2"/>
    <w:rsid w:val="00A76263"/>
    <w:rsid w:val="00A7638D"/>
    <w:rsid w:val="00A76425"/>
    <w:rsid w:val="00A76F88"/>
    <w:rsid w:val="00A77710"/>
    <w:rsid w:val="00A77752"/>
    <w:rsid w:val="00A777B1"/>
    <w:rsid w:val="00A777B2"/>
    <w:rsid w:val="00A77B02"/>
    <w:rsid w:val="00A77B93"/>
    <w:rsid w:val="00A77E61"/>
    <w:rsid w:val="00A801EF"/>
    <w:rsid w:val="00A804AA"/>
    <w:rsid w:val="00A806A2"/>
    <w:rsid w:val="00A80E21"/>
    <w:rsid w:val="00A81039"/>
    <w:rsid w:val="00A81097"/>
    <w:rsid w:val="00A81D51"/>
    <w:rsid w:val="00A821E6"/>
    <w:rsid w:val="00A826A1"/>
    <w:rsid w:val="00A8282F"/>
    <w:rsid w:val="00A83A58"/>
    <w:rsid w:val="00A84261"/>
    <w:rsid w:val="00A8432E"/>
    <w:rsid w:val="00A84532"/>
    <w:rsid w:val="00A84CEF"/>
    <w:rsid w:val="00A84D9F"/>
    <w:rsid w:val="00A84EFC"/>
    <w:rsid w:val="00A85106"/>
    <w:rsid w:val="00A85341"/>
    <w:rsid w:val="00A854C3"/>
    <w:rsid w:val="00A856B3"/>
    <w:rsid w:val="00A857E9"/>
    <w:rsid w:val="00A85DF7"/>
    <w:rsid w:val="00A8606A"/>
    <w:rsid w:val="00A86C6D"/>
    <w:rsid w:val="00A8734F"/>
    <w:rsid w:val="00A87C35"/>
    <w:rsid w:val="00A87C3C"/>
    <w:rsid w:val="00A904DA"/>
    <w:rsid w:val="00A910AA"/>
    <w:rsid w:val="00A912D2"/>
    <w:rsid w:val="00A92AC8"/>
    <w:rsid w:val="00A92BFF"/>
    <w:rsid w:val="00A92C26"/>
    <w:rsid w:val="00A92C67"/>
    <w:rsid w:val="00A92E35"/>
    <w:rsid w:val="00A939D9"/>
    <w:rsid w:val="00A9427A"/>
    <w:rsid w:val="00A95018"/>
    <w:rsid w:val="00A9511E"/>
    <w:rsid w:val="00A95341"/>
    <w:rsid w:val="00A96551"/>
    <w:rsid w:val="00A96AC7"/>
    <w:rsid w:val="00A96D5E"/>
    <w:rsid w:val="00A96E7D"/>
    <w:rsid w:val="00A971BE"/>
    <w:rsid w:val="00A973C3"/>
    <w:rsid w:val="00A97E6F"/>
    <w:rsid w:val="00AA038C"/>
    <w:rsid w:val="00AA0A37"/>
    <w:rsid w:val="00AA10AC"/>
    <w:rsid w:val="00AA1101"/>
    <w:rsid w:val="00AA1763"/>
    <w:rsid w:val="00AA1A8F"/>
    <w:rsid w:val="00AA1CA4"/>
    <w:rsid w:val="00AA2BEF"/>
    <w:rsid w:val="00AA2DFC"/>
    <w:rsid w:val="00AA33B7"/>
    <w:rsid w:val="00AA34DF"/>
    <w:rsid w:val="00AA454B"/>
    <w:rsid w:val="00AA4600"/>
    <w:rsid w:val="00AA4646"/>
    <w:rsid w:val="00AA49D4"/>
    <w:rsid w:val="00AA4CD5"/>
    <w:rsid w:val="00AA4D63"/>
    <w:rsid w:val="00AA53E2"/>
    <w:rsid w:val="00AA55C1"/>
    <w:rsid w:val="00AA69C2"/>
    <w:rsid w:val="00AA6A5D"/>
    <w:rsid w:val="00AA73E7"/>
    <w:rsid w:val="00AA7476"/>
    <w:rsid w:val="00AA77CE"/>
    <w:rsid w:val="00AA7867"/>
    <w:rsid w:val="00AB005F"/>
    <w:rsid w:val="00AB0113"/>
    <w:rsid w:val="00AB014F"/>
    <w:rsid w:val="00AB0898"/>
    <w:rsid w:val="00AB0B2F"/>
    <w:rsid w:val="00AB0C7F"/>
    <w:rsid w:val="00AB0DB3"/>
    <w:rsid w:val="00AB1558"/>
    <w:rsid w:val="00AB1FE7"/>
    <w:rsid w:val="00AB21B3"/>
    <w:rsid w:val="00AB2BE8"/>
    <w:rsid w:val="00AB3050"/>
    <w:rsid w:val="00AB3134"/>
    <w:rsid w:val="00AB354F"/>
    <w:rsid w:val="00AB3B33"/>
    <w:rsid w:val="00AB4E5D"/>
    <w:rsid w:val="00AB4EE6"/>
    <w:rsid w:val="00AB52D3"/>
    <w:rsid w:val="00AB5524"/>
    <w:rsid w:val="00AB5B0E"/>
    <w:rsid w:val="00AB5CD7"/>
    <w:rsid w:val="00AB6121"/>
    <w:rsid w:val="00AB6273"/>
    <w:rsid w:val="00AB6C13"/>
    <w:rsid w:val="00AB6E88"/>
    <w:rsid w:val="00AB7032"/>
    <w:rsid w:val="00AB7D17"/>
    <w:rsid w:val="00AC0901"/>
    <w:rsid w:val="00AC13E1"/>
    <w:rsid w:val="00AC2719"/>
    <w:rsid w:val="00AC3A07"/>
    <w:rsid w:val="00AC3AA3"/>
    <w:rsid w:val="00AC3AB3"/>
    <w:rsid w:val="00AC3FCC"/>
    <w:rsid w:val="00AC3FD9"/>
    <w:rsid w:val="00AC43A8"/>
    <w:rsid w:val="00AC43C2"/>
    <w:rsid w:val="00AC4BA6"/>
    <w:rsid w:val="00AC5856"/>
    <w:rsid w:val="00AC59C5"/>
    <w:rsid w:val="00AC59D4"/>
    <w:rsid w:val="00AC61EE"/>
    <w:rsid w:val="00AC694E"/>
    <w:rsid w:val="00AC69C1"/>
    <w:rsid w:val="00AC6A41"/>
    <w:rsid w:val="00AC6CB4"/>
    <w:rsid w:val="00AC7B5E"/>
    <w:rsid w:val="00AC7CEB"/>
    <w:rsid w:val="00AD01BA"/>
    <w:rsid w:val="00AD05F3"/>
    <w:rsid w:val="00AD0A3B"/>
    <w:rsid w:val="00AD0B48"/>
    <w:rsid w:val="00AD1233"/>
    <w:rsid w:val="00AD1983"/>
    <w:rsid w:val="00AD2127"/>
    <w:rsid w:val="00AD21E0"/>
    <w:rsid w:val="00AD2A40"/>
    <w:rsid w:val="00AD2A9D"/>
    <w:rsid w:val="00AD2E41"/>
    <w:rsid w:val="00AD2EF2"/>
    <w:rsid w:val="00AD33B9"/>
    <w:rsid w:val="00AD3A52"/>
    <w:rsid w:val="00AD3A76"/>
    <w:rsid w:val="00AD3CE3"/>
    <w:rsid w:val="00AD3D5A"/>
    <w:rsid w:val="00AD4013"/>
    <w:rsid w:val="00AD41CB"/>
    <w:rsid w:val="00AD4200"/>
    <w:rsid w:val="00AD4608"/>
    <w:rsid w:val="00AD4A92"/>
    <w:rsid w:val="00AD5222"/>
    <w:rsid w:val="00AD526E"/>
    <w:rsid w:val="00AD559F"/>
    <w:rsid w:val="00AD5B52"/>
    <w:rsid w:val="00AD5E5D"/>
    <w:rsid w:val="00AD69A5"/>
    <w:rsid w:val="00AD6C97"/>
    <w:rsid w:val="00AD71C8"/>
    <w:rsid w:val="00AD73EF"/>
    <w:rsid w:val="00AD74B9"/>
    <w:rsid w:val="00AD7652"/>
    <w:rsid w:val="00AD777B"/>
    <w:rsid w:val="00AD783E"/>
    <w:rsid w:val="00AD7948"/>
    <w:rsid w:val="00AD7A9E"/>
    <w:rsid w:val="00AE0243"/>
    <w:rsid w:val="00AE0E7B"/>
    <w:rsid w:val="00AE12A0"/>
    <w:rsid w:val="00AE1717"/>
    <w:rsid w:val="00AE1A63"/>
    <w:rsid w:val="00AE1A7C"/>
    <w:rsid w:val="00AE20E4"/>
    <w:rsid w:val="00AE2484"/>
    <w:rsid w:val="00AE2AB9"/>
    <w:rsid w:val="00AE2E2B"/>
    <w:rsid w:val="00AE2E97"/>
    <w:rsid w:val="00AE2EC0"/>
    <w:rsid w:val="00AE2F63"/>
    <w:rsid w:val="00AE31DD"/>
    <w:rsid w:val="00AE3541"/>
    <w:rsid w:val="00AE3A97"/>
    <w:rsid w:val="00AE3D5E"/>
    <w:rsid w:val="00AE4580"/>
    <w:rsid w:val="00AE485C"/>
    <w:rsid w:val="00AE4C44"/>
    <w:rsid w:val="00AE4FDD"/>
    <w:rsid w:val="00AE519F"/>
    <w:rsid w:val="00AE5796"/>
    <w:rsid w:val="00AE57CC"/>
    <w:rsid w:val="00AE5903"/>
    <w:rsid w:val="00AE601D"/>
    <w:rsid w:val="00AE6CE6"/>
    <w:rsid w:val="00AE6EB8"/>
    <w:rsid w:val="00AE6EFB"/>
    <w:rsid w:val="00AE7138"/>
    <w:rsid w:val="00AE7A24"/>
    <w:rsid w:val="00AE7B17"/>
    <w:rsid w:val="00AE7B6E"/>
    <w:rsid w:val="00AE7B8D"/>
    <w:rsid w:val="00AF05B8"/>
    <w:rsid w:val="00AF0727"/>
    <w:rsid w:val="00AF074B"/>
    <w:rsid w:val="00AF0B1E"/>
    <w:rsid w:val="00AF0C3C"/>
    <w:rsid w:val="00AF1070"/>
    <w:rsid w:val="00AF1322"/>
    <w:rsid w:val="00AF1973"/>
    <w:rsid w:val="00AF1F0F"/>
    <w:rsid w:val="00AF238D"/>
    <w:rsid w:val="00AF23B5"/>
    <w:rsid w:val="00AF2421"/>
    <w:rsid w:val="00AF29B2"/>
    <w:rsid w:val="00AF29D5"/>
    <w:rsid w:val="00AF2E7D"/>
    <w:rsid w:val="00AF3270"/>
    <w:rsid w:val="00AF388E"/>
    <w:rsid w:val="00AF3AB2"/>
    <w:rsid w:val="00AF3F6C"/>
    <w:rsid w:val="00AF3F71"/>
    <w:rsid w:val="00AF4706"/>
    <w:rsid w:val="00AF58A9"/>
    <w:rsid w:val="00AF5F27"/>
    <w:rsid w:val="00AF62B0"/>
    <w:rsid w:val="00AF6535"/>
    <w:rsid w:val="00AF6812"/>
    <w:rsid w:val="00AF71E6"/>
    <w:rsid w:val="00AF7B54"/>
    <w:rsid w:val="00AF7F12"/>
    <w:rsid w:val="00AF7FA7"/>
    <w:rsid w:val="00B0033F"/>
    <w:rsid w:val="00B00CB2"/>
    <w:rsid w:val="00B00E63"/>
    <w:rsid w:val="00B01413"/>
    <w:rsid w:val="00B01725"/>
    <w:rsid w:val="00B01C90"/>
    <w:rsid w:val="00B026A2"/>
    <w:rsid w:val="00B02863"/>
    <w:rsid w:val="00B02D56"/>
    <w:rsid w:val="00B02F99"/>
    <w:rsid w:val="00B03023"/>
    <w:rsid w:val="00B033EB"/>
    <w:rsid w:val="00B03577"/>
    <w:rsid w:val="00B04379"/>
    <w:rsid w:val="00B044C9"/>
    <w:rsid w:val="00B044E4"/>
    <w:rsid w:val="00B04CFC"/>
    <w:rsid w:val="00B05150"/>
    <w:rsid w:val="00B0570D"/>
    <w:rsid w:val="00B057A9"/>
    <w:rsid w:val="00B059D7"/>
    <w:rsid w:val="00B06208"/>
    <w:rsid w:val="00B068C0"/>
    <w:rsid w:val="00B069F4"/>
    <w:rsid w:val="00B06FCF"/>
    <w:rsid w:val="00B06FED"/>
    <w:rsid w:val="00B07525"/>
    <w:rsid w:val="00B0761A"/>
    <w:rsid w:val="00B07F63"/>
    <w:rsid w:val="00B07FA0"/>
    <w:rsid w:val="00B104BC"/>
    <w:rsid w:val="00B107E1"/>
    <w:rsid w:val="00B10C75"/>
    <w:rsid w:val="00B10CE3"/>
    <w:rsid w:val="00B1133F"/>
    <w:rsid w:val="00B1177D"/>
    <w:rsid w:val="00B11975"/>
    <w:rsid w:val="00B11DB0"/>
    <w:rsid w:val="00B12294"/>
    <w:rsid w:val="00B124F1"/>
    <w:rsid w:val="00B1270B"/>
    <w:rsid w:val="00B12B48"/>
    <w:rsid w:val="00B135CF"/>
    <w:rsid w:val="00B13A5F"/>
    <w:rsid w:val="00B13BB0"/>
    <w:rsid w:val="00B1411C"/>
    <w:rsid w:val="00B14343"/>
    <w:rsid w:val="00B14758"/>
    <w:rsid w:val="00B14908"/>
    <w:rsid w:val="00B14BE0"/>
    <w:rsid w:val="00B14ECD"/>
    <w:rsid w:val="00B152B1"/>
    <w:rsid w:val="00B15505"/>
    <w:rsid w:val="00B156C8"/>
    <w:rsid w:val="00B15C54"/>
    <w:rsid w:val="00B15DF6"/>
    <w:rsid w:val="00B164DC"/>
    <w:rsid w:val="00B16561"/>
    <w:rsid w:val="00B169FE"/>
    <w:rsid w:val="00B16D42"/>
    <w:rsid w:val="00B16D9D"/>
    <w:rsid w:val="00B1731B"/>
    <w:rsid w:val="00B17417"/>
    <w:rsid w:val="00B17DC6"/>
    <w:rsid w:val="00B20172"/>
    <w:rsid w:val="00B2022E"/>
    <w:rsid w:val="00B20669"/>
    <w:rsid w:val="00B20C7E"/>
    <w:rsid w:val="00B20D88"/>
    <w:rsid w:val="00B2128C"/>
    <w:rsid w:val="00B21339"/>
    <w:rsid w:val="00B213B9"/>
    <w:rsid w:val="00B21453"/>
    <w:rsid w:val="00B218BB"/>
    <w:rsid w:val="00B22525"/>
    <w:rsid w:val="00B2296B"/>
    <w:rsid w:val="00B22FE0"/>
    <w:rsid w:val="00B23207"/>
    <w:rsid w:val="00B232C7"/>
    <w:rsid w:val="00B23CAA"/>
    <w:rsid w:val="00B247B7"/>
    <w:rsid w:val="00B25350"/>
    <w:rsid w:val="00B2554C"/>
    <w:rsid w:val="00B25B93"/>
    <w:rsid w:val="00B25CC7"/>
    <w:rsid w:val="00B25D74"/>
    <w:rsid w:val="00B26202"/>
    <w:rsid w:val="00B2636F"/>
    <w:rsid w:val="00B26584"/>
    <w:rsid w:val="00B27013"/>
    <w:rsid w:val="00B2730E"/>
    <w:rsid w:val="00B2734E"/>
    <w:rsid w:val="00B303F5"/>
    <w:rsid w:val="00B30B1E"/>
    <w:rsid w:val="00B30D7B"/>
    <w:rsid w:val="00B31127"/>
    <w:rsid w:val="00B315EF"/>
    <w:rsid w:val="00B31746"/>
    <w:rsid w:val="00B31D6F"/>
    <w:rsid w:val="00B32136"/>
    <w:rsid w:val="00B32210"/>
    <w:rsid w:val="00B32EF4"/>
    <w:rsid w:val="00B33563"/>
    <w:rsid w:val="00B34024"/>
    <w:rsid w:val="00B34521"/>
    <w:rsid w:val="00B34526"/>
    <w:rsid w:val="00B34809"/>
    <w:rsid w:val="00B34A99"/>
    <w:rsid w:val="00B36910"/>
    <w:rsid w:val="00B36F1B"/>
    <w:rsid w:val="00B3747D"/>
    <w:rsid w:val="00B400EC"/>
    <w:rsid w:val="00B40372"/>
    <w:rsid w:val="00B40980"/>
    <w:rsid w:val="00B40BB9"/>
    <w:rsid w:val="00B40C3B"/>
    <w:rsid w:val="00B40CB4"/>
    <w:rsid w:val="00B410FB"/>
    <w:rsid w:val="00B41D0B"/>
    <w:rsid w:val="00B42066"/>
    <w:rsid w:val="00B42C14"/>
    <w:rsid w:val="00B42ECC"/>
    <w:rsid w:val="00B42F93"/>
    <w:rsid w:val="00B434F0"/>
    <w:rsid w:val="00B4390B"/>
    <w:rsid w:val="00B43951"/>
    <w:rsid w:val="00B43AC5"/>
    <w:rsid w:val="00B43DAA"/>
    <w:rsid w:val="00B44523"/>
    <w:rsid w:val="00B4495C"/>
    <w:rsid w:val="00B44B2D"/>
    <w:rsid w:val="00B454CE"/>
    <w:rsid w:val="00B45D38"/>
    <w:rsid w:val="00B45D56"/>
    <w:rsid w:val="00B45E7C"/>
    <w:rsid w:val="00B46BC1"/>
    <w:rsid w:val="00B46EB5"/>
    <w:rsid w:val="00B47156"/>
    <w:rsid w:val="00B4726F"/>
    <w:rsid w:val="00B47708"/>
    <w:rsid w:val="00B47A3D"/>
    <w:rsid w:val="00B50056"/>
    <w:rsid w:val="00B50514"/>
    <w:rsid w:val="00B51856"/>
    <w:rsid w:val="00B5185C"/>
    <w:rsid w:val="00B519C3"/>
    <w:rsid w:val="00B51D11"/>
    <w:rsid w:val="00B51D28"/>
    <w:rsid w:val="00B520C3"/>
    <w:rsid w:val="00B52135"/>
    <w:rsid w:val="00B5239C"/>
    <w:rsid w:val="00B52B07"/>
    <w:rsid w:val="00B52C0F"/>
    <w:rsid w:val="00B530D1"/>
    <w:rsid w:val="00B53120"/>
    <w:rsid w:val="00B539E0"/>
    <w:rsid w:val="00B5408A"/>
    <w:rsid w:val="00B54102"/>
    <w:rsid w:val="00B5447C"/>
    <w:rsid w:val="00B54518"/>
    <w:rsid w:val="00B54530"/>
    <w:rsid w:val="00B54A72"/>
    <w:rsid w:val="00B54F10"/>
    <w:rsid w:val="00B555A7"/>
    <w:rsid w:val="00B55672"/>
    <w:rsid w:val="00B557C4"/>
    <w:rsid w:val="00B558D9"/>
    <w:rsid w:val="00B55A0E"/>
    <w:rsid w:val="00B55F12"/>
    <w:rsid w:val="00B561F9"/>
    <w:rsid w:val="00B5652E"/>
    <w:rsid w:val="00B56554"/>
    <w:rsid w:val="00B567F2"/>
    <w:rsid w:val="00B5730A"/>
    <w:rsid w:val="00B57A6C"/>
    <w:rsid w:val="00B600CB"/>
    <w:rsid w:val="00B60129"/>
    <w:rsid w:val="00B6019F"/>
    <w:rsid w:val="00B60261"/>
    <w:rsid w:val="00B60638"/>
    <w:rsid w:val="00B6076F"/>
    <w:rsid w:val="00B61FC5"/>
    <w:rsid w:val="00B62095"/>
    <w:rsid w:val="00B6338A"/>
    <w:rsid w:val="00B63879"/>
    <w:rsid w:val="00B6389B"/>
    <w:rsid w:val="00B63B62"/>
    <w:rsid w:val="00B63FC4"/>
    <w:rsid w:val="00B646F3"/>
    <w:rsid w:val="00B64910"/>
    <w:rsid w:val="00B652B3"/>
    <w:rsid w:val="00B65705"/>
    <w:rsid w:val="00B6574B"/>
    <w:rsid w:val="00B658EE"/>
    <w:rsid w:val="00B659FF"/>
    <w:rsid w:val="00B65A3C"/>
    <w:rsid w:val="00B65B5C"/>
    <w:rsid w:val="00B65EC4"/>
    <w:rsid w:val="00B66323"/>
    <w:rsid w:val="00B6712A"/>
    <w:rsid w:val="00B674FE"/>
    <w:rsid w:val="00B676A5"/>
    <w:rsid w:val="00B67982"/>
    <w:rsid w:val="00B70323"/>
    <w:rsid w:val="00B708CA"/>
    <w:rsid w:val="00B7097B"/>
    <w:rsid w:val="00B70A76"/>
    <w:rsid w:val="00B70D81"/>
    <w:rsid w:val="00B719BC"/>
    <w:rsid w:val="00B72033"/>
    <w:rsid w:val="00B72169"/>
    <w:rsid w:val="00B72283"/>
    <w:rsid w:val="00B725DC"/>
    <w:rsid w:val="00B72DED"/>
    <w:rsid w:val="00B738CE"/>
    <w:rsid w:val="00B739B2"/>
    <w:rsid w:val="00B7464B"/>
    <w:rsid w:val="00B752D1"/>
    <w:rsid w:val="00B7549A"/>
    <w:rsid w:val="00B7562F"/>
    <w:rsid w:val="00B75E56"/>
    <w:rsid w:val="00B76E75"/>
    <w:rsid w:val="00B777FD"/>
    <w:rsid w:val="00B778AF"/>
    <w:rsid w:val="00B80891"/>
    <w:rsid w:val="00B8094C"/>
    <w:rsid w:val="00B80BF7"/>
    <w:rsid w:val="00B812EB"/>
    <w:rsid w:val="00B81371"/>
    <w:rsid w:val="00B81C61"/>
    <w:rsid w:val="00B81D0B"/>
    <w:rsid w:val="00B82F5A"/>
    <w:rsid w:val="00B82F80"/>
    <w:rsid w:val="00B8333E"/>
    <w:rsid w:val="00B834C8"/>
    <w:rsid w:val="00B8356F"/>
    <w:rsid w:val="00B83E28"/>
    <w:rsid w:val="00B84264"/>
    <w:rsid w:val="00B84278"/>
    <w:rsid w:val="00B84293"/>
    <w:rsid w:val="00B851D5"/>
    <w:rsid w:val="00B85F8B"/>
    <w:rsid w:val="00B868B6"/>
    <w:rsid w:val="00B86FFF"/>
    <w:rsid w:val="00B871D6"/>
    <w:rsid w:val="00B873C7"/>
    <w:rsid w:val="00B901B3"/>
    <w:rsid w:val="00B904DA"/>
    <w:rsid w:val="00B90ABC"/>
    <w:rsid w:val="00B917EA"/>
    <w:rsid w:val="00B91898"/>
    <w:rsid w:val="00B9269B"/>
    <w:rsid w:val="00B927A4"/>
    <w:rsid w:val="00B92CD2"/>
    <w:rsid w:val="00B92E8D"/>
    <w:rsid w:val="00B93271"/>
    <w:rsid w:val="00B938E6"/>
    <w:rsid w:val="00B939DF"/>
    <w:rsid w:val="00B93F5E"/>
    <w:rsid w:val="00B953BB"/>
    <w:rsid w:val="00B95464"/>
    <w:rsid w:val="00B956E7"/>
    <w:rsid w:val="00B95D84"/>
    <w:rsid w:val="00B97F9C"/>
    <w:rsid w:val="00BA030F"/>
    <w:rsid w:val="00BA0580"/>
    <w:rsid w:val="00BA0711"/>
    <w:rsid w:val="00BA07BA"/>
    <w:rsid w:val="00BA0AEF"/>
    <w:rsid w:val="00BA101E"/>
    <w:rsid w:val="00BA1174"/>
    <w:rsid w:val="00BA19A3"/>
    <w:rsid w:val="00BA1A98"/>
    <w:rsid w:val="00BA1B8D"/>
    <w:rsid w:val="00BA1BF4"/>
    <w:rsid w:val="00BA27D3"/>
    <w:rsid w:val="00BA347E"/>
    <w:rsid w:val="00BA451B"/>
    <w:rsid w:val="00BA4545"/>
    <w:rsid w:val="00BA4E8D"/>
    <w:rsid w:val="00BA4F40"/>
    <w:rsid w:val="00BA4F76"/>
    <w:rsid w:val="00BA521B"/>
    <w:rsid w:val="00BA5233"/>
    <w:rsid w:val="00BA5423"/>
    <w:rsid w:val="00BA58D0"/>
    <w:rsid w:val="00BA5A2C"/>
    <w:rsid w:val="00BA5A33"/>
    <w:rsid w:val="00BA5DE9"/>
    <w:rsid w:val="00BA5E5E"/>
    <w:rsid w:val="00BA5FAC"/>
    <w:rsid w:val="00BA6EE1"/>
    <w:rsid w:val="00BA7049"/>
    <w:rsid w:val="00BA71F4"/>
    <w:rsid w:val="00BA7348"/>
    <w:rsid w:val="00BA74E2"/>
    <w:rsid w:val="00BA7B51"/>
    <w:rsid w:val="00BA7BEA"/>
    <w:rsid w:val="00BA7C7D"/>
    <w:rsid w:val="00BA7D06"/>
    <w:rsid w:val="00BA7D67"/>
    <w:rsid w:val="00BB01CA"/>
    <w:rsid w:val="00BB05B2"/>
    <w:rsid w:val="00BB17F4"/>
    <w:rsid w:val="00BB2965"/>
    <w:rsid w:val="00BB2C6F"/>
    <w:rsid w:val="00BB319F"/>
    <w:rsid w:val="00BB32A5"/>
    <w:rsid w:val="00BB38C6"/>
    <w:rsid w:val="00BB3A1C"/>
    <w:rsid w:val="00BB3A5C"/>
    <w:rsid w:val="00BB454F"/>
    <w:rsid w:val="00BB4B1D"/>
    <w:rsid w:val="00BB4B5C"/>
    <w:rsid w:val="00BB5164"/>
    <w:rsid w:val="00BB517B"/>
    <w:rsid w:val="00BB5EFF"/>
    <w:rsid w:val="00BB618D"/>
    <w:rsid w:val="00BB6425"/>
    <w:rsid w:val="00BB6E49"/>
    <w:rsid w:val="00BB7FFD"/>
    <w:rsid w:val="00BC013F"/>
    <w:rsid w:val="00BC0155"/>
    <w:rsid w:val="00BC02F8"/>
    <w:rsid w:val="00BC055F"/>
    <w:rsid w:val="00BC1475"/>
    <w:rsid w:val="00BC14AC"/>
    <w:rsid w:val="00BC158C"/>
    <w:rsid w:val="00BC1B75"/>
    <w:rsid w:val="00BC1C40"/>
    <w:rsid w:val="00BC2199"/>
    <w:rsid w:val="00BC24AC"/>
    <w:rsid w:val="00BC2AFA"/>
    <w:rsid w:val="00BC3046"/>
    <w:rsid w:val="00BC30E9"/>
    <w:rsid w:val="00BC3359"/>
    <w:rsid w:val="00BC45D5"/>
    <w:rsid w:val="00BC46A4"/>
    <w:rsid w:val="00BC4FD4"/>
    <w:rsid w:val="00BC53FE"/>
    <w:rsid w:val="00BC58AA"/>
    <w:rsid w:val="00BC6375"/>
    <w:rsid w:val="00BC654F"/>
    <w:rsid w:val="00BC699E"/>
    <w:rsid w:val="00BC7819"/>
    <w:rsid w:val="00BC7956"/>
    <w:rsid w:val="00BC7C93"/>
    <w:rsid w:val="00BC7E8E"/>
    <w:rsid w:val="00BD0011"/>
    <w:rsid w:val="00BD0AD7"/>
    <w:rsid w:val="00BD1BCC"/>
    <w:rsid w:val="00BD2483"/>
    <w:rsid w:val="00BD27A7"/>
    <w:rsid w:val="00BD28BB"/>
    <w:rsid w:val="00BD320E"/>
    <w:rsid w:val="00BD3457"/>
    <w:rsid w:val="00BD358D"/>
    <w:rsid w:val="00BD3907"/>
    <w:rsid w:val="00BD39D2"/>
    <w:rsid w:val="00BD3FC7"/>
    <w:rsid w:val="00BD4354"/>
    <w:rsid w:val="00BD4576"/>
    <w:rsid w:val="00BD4BDE"/>
    <w:rsid w:val="00BD4D2B"/>
    <w:rsid w:val="00BD5072"/>
    <w:rsid w:val="00BD51C0"/>
    <w:rsid w:val="00BD5406"/>
    <w:rsid w:val="00BD5640"/>
    <w:rsid w:val="00BD576B"/>
    <w:rsid w:val="00BD5855"/>
    <w:rsid w:val="00BD6093"/>
    <w:rsid w:val="00BD639D"/>
    <w:rsid w:val="00BD641D"/>
    <w:rsid w:val="00BD6B05"/>
    <w:rsid w:val="00BD6C9A"/>
    <w:rsid w:val="00BD6EBB"/>
    <w:rsid w:val="00BD6FDD"/>
    <w:rsid w:val="00BD7529"/>
    <w:rsid w:val="00BD78A2"/>
    <w:rsid w:val="00BD7942"/>
    <w:rsid w:val="00BD7954"/>
    <w:rsid w:val="00BD7A5C"/>
    <w:rsid w:val="00BD7D25"/>
    <w:rsid w:val="00BD7D28"/>
    <w:rsid w:val="00BD7D9C"/>
    <w:rsid w:val="00BD7FA8"/>
    <w:rsid w:val="00BE01A8"/>
    <w:rsid w:val="00BE08B8"/>
    <w:rsid w:val="00BE0AE8"/>
    <w:rsid w:val="00BE0CA8"/>
    <w:rsid w:val="00BE1261"/>
    <w:rsid w:val="00BE129A"/>
    <w:rsid w:val="00BE1FBA"/>
    <w:rsid w:val="00BE218E"/>
    <w:rsid w:val="00BE2AF5"/>
    <w:rsid w:val="00BE2E54"/>
    <w:rsid w:val="00BE328F"/>
    <w:rsid w:val="00BE3391"/>
    <w:rsid w:val="00BE3641"/>
    <w:rsid w:val="00BE3940"/>
    <w:rsid w:val="00BE3D12"/>
    <w:rsid w:val="00BE3F84"/>
    <w:rsid w:val="00BE421D"/>
    <w:rsid w:val="00BE494A"/>
    <w:rsid w:val="00BE4958"/>
    <w:rsid w:val="00BE4D15"/>
    <w:rsid w:val="00BE521C"/>
    <w:rsid w:val="00BE5308"/>
    <w:rsid w:val="00BE589E"/>
    <w:rsid w:val="00BE5B7E"/>
    <w:rsid w:val="00BE5FDF"/>
    <w:rsid w:val="00BE63C5"/>
    <w:rsid w:val="00BE63EC"/>
    <w:rsid w:val="00BE655A"/>
    <w:rsid w:val="00BE659A"/>
    <w:rsid w:val="00BE6814"/>
    <w:rsid w:val="00BE697E"/>
    <w:rsid w:val="00BE6CCF"/>
    <w:rsid w:val="00BE6DB7"/>
    <w:rsid w:val="00BE77C7"/>
    <w:rsid w:val="00BE7880"/>
    <w:rsid w:val="00BE7A00"/>
    <w:rsid w:val="00BE7D8F"/>
    <w:rsid w:val="00BF0009"/>
    <w:rsid w:val="00BF06C5"/>
    <w:rsid w:val="00BF13D7"/>
    <w:rsid w:val="00BF1BFD"/>
    <w:rsid w:val="00BF1DB5"/>
    <w:rsid w:val="00BF2053"/>
    <w:rsid w:val="00BF2198"/>
    <w:rsid w:val="00BF27EA"/>
    <w:rsid w:val="00BF350C"/>
    <w:rsid w:val="00BF36AD"/>
    <w:rsid w:val="00BF398D"/>
    <w:rsid w:val="00BF39FD"/>
    <w:rsid w:val="00BF3F83"/>
    <w:rsid w:val="00BF41FD"/>
    <w:rsid w:val="00BF425B"/>
    <w:rsid w:val="00BF4D8C"/>
    <w:rsid w:val="00BF51AA"/>
    <w:rsid w:val="00BF524C"/>
    <w:rsid w:val="00BF59B0"/>
    <w:rsid w:val="00BF5CF1"/>
    <w:rsid w:val="00BF65B7"/>
    <w:rsid w:val="00BF6A74"/>
    <w:rsid w:val="00BF6B68"/>
    <w:rsid w:val="00BF6E4A"/>
    <w:rsid w:val="00BF7118"/>
    <w:rsid w:val="00BF768E"/>
    <w:rsid w:val="00BF775A"/>
    <w:rsid w:val="00BF79AB"/>
    <w:rsid w:val="00BF7B8F"/>
    <w:rsid w:val="00BF7E5B"/>
    <w:rsid w:val="00C0014E"/>
    <w:rsid w:val="00C007AD"/>
    <w:rsid w:val="00C0099C"/>
    <w:rsid w:val="00C0143E"/>
    <w:rsid w:val="00C014C6"/>
    <w:rsid w:val="00C016A5"/>
    <w:rsid w:val="00C018C4"/>
    <w:rsid w:val="00C019A5"/>
    <w:rsid w:val="00C01CC0"/>
    <w:rsid w:val="00C022FF"/>
    <w:rsid w:val="00C02B3C"/>
    <w:rsid w:val="00C035CB"/>
    <w:rsid w:val="00C03A07"/>
    <w:rsid w:val="00C03A4E"/>
    <w:rsid w:val="00C03D00"/>
    <w:rsid w:val="00C04361"/>
    <w:rsid w:val="00C043F8"/>
    <w:rsid w:val="00C044E4"/>
    <w:rsid w:val="00C04EA9"/>
    <w:rsid w:val="00C052F0"/>
    <w:rsid w:val="00C05882"/>
    <w:rsid w:val="00C058DC"/>
    <w:rsid w:val="00C059E5"/>
    <w:rsid w:val="00C06048"/>
    <w:rsid w:val="00C060B2"/>
    <w:rsid w:val="00C0689F"/>
    <w:rsid w:val="00C068A0"/>
    <w:rsid w:val="00C07495"/>
    <w:rsid w:val="00C07541"/>
    <w:rsid w:val="00C0792A"/>
    <w:rsid w:val="00C07A6B"/>
    <w:rsid w:val="00C1015C"/>
    <w:rsid w:val="00C102DA"/>
    <w:rsid w:val="00C10B46"/>
    <w:rsid w:val="00C11246"/>
    <w:rsid w:val="00C115FF"/>
    <w:rsid w:val="00C11E1B"/>
    <w:rsid w:val="00C11ED8"/>
    <w:rsid w:val="00C11F5A"/>
    <w:rsid w:val="00C11FE1"/>
    <w:rsid w:val="00C11FF8"/>
    <w:rsid w:val="00C12E42"/>
    <w:rsid w:val="00C13466"/>
    <w:rsid w:val="00C134C7"/>
    <w:rsid w:val="00C13589"/>
    <w:rsid w:val="00C13CB7"/>
    <w:rsid w:val="00C1472F"/>
    <w:rsid w:val="00C149A3"/>
    <w:rsid w:val="00C1582E"/>
    <w:rsid w:val="00C15B49"/>
    <w:rsid w:val="00C161C0"/>
    <w:rsid w:val="00C16425"/>
    <w:rsid w:val="00C16456"/>
    <w:rsid w:val="00C16B75"/>
    <w:rsid w:val="00C16BEB"/>
    <w:rsid w:val="00C16C74"/>
    <w:rsid w:val="00C16FC8"/>
    <w:rsid w:val="00C17186"/>
    <w:rsid w:val="00C17378"/>
    <w:rsid w:val="00C1758D"/>
    <w:rsid w:val="00C1775E"/>
    <w:rsid w:val="00C206D2"/>
    <w:rsid w:val="00C209E2"/>
    <w:rsid w:val="00C21D07"/>
    <w:rsid w:val="00C21E12"/>
    <w:rsid w:val="00C21E49"/>
    <w:rsid w:val="00C223C8"/>
    <w:rsid w:val="00C23263"/>
    <w:rsid w:val="00C23403"/>
    <w:rsid w:val="00C2359C"/>
    <w:rsid w:val="00C23A2A"/>
    <w:rsid w:val="00C23B2A"/>
    <w:rsid w:val="00C23C02"/>
    <w:rsid w:val="00C24055"/>
    <w:rsid w:val="00C2407E"/>
    <w:rsid w:val="00C24135"/>
    <w:rsid w:val="00C2429D"/>
    <w:rsid w:val="00C24683"/>
    <w:rsid w:val="00C24AA8"/>
    <w:rsid w:val="00C2528B"/>
    <w:rsid w:val="00C25425"/>
    <w:rsid w:val="00C2567A"/>
    <w:rsid w:val="00C258CB"/>
    <w:rsid w:val="00C26019"/>
    <w:rsid w:val="00C260E4"/>
    <w:rsid w:val="00C2610C"/>
    <w:rsid w:val="00C26710"/>
    <w:rsid w:val="00C26D06"/>
    <w:rsid w:val="00C26D2B"/>
    <w:rsid w:val="00C275D6"/>
    <w:rsid w:val="00C278A0"/>
    <w:rsid w:val="00C27A9B"/>
    <w:rsid w:val="00C27B88"/>
    <w:rsid w:val="00C27EA2"/>
    <w:rsid w:val="00C27EDD"/>
    <w:rsid w:val="00C3036D"/>
    <w:rsid w:val="00C30A7A"/>
    <w:rsid w:val="00C30DF7"/>
    <w:rsid w:val="00C30E2E"/>
    <w:rsid w:val="00C30FB6"/>
    <w:rsid w:val="00C313E9"/>
    <w:rsid w:val="00C31A1E"/>
    <w:rsid w:val="00C3229B"/>
    <w:rsid w:val="00C3264E"/>
    <w:rsid w:val="00C34221"/>
    <w:rsid w:val="00C348F0"/>
    <w:rsid w:val="00C34A76"/>
    <w:rsid w:val="00C34FED"/>
    <w:rsid w:val="00C35611"/>
    <w:rsid w:val="00C357C2"/>
    <w:rsid w:val="00C3586E"/>
    <w:rsid w:val="00C35A0A"/>
    <w:rsid w:val="00C35AA8"/>
    <w:rsid w:val="00C3637B"/>
    <w:rsid w:val="00C36AAD"/>
    <w:rsid w:val="00C36B8E"/>
    <w:rsid w:val="00C36C1F"/>
    <w:rsid w:val="00C36FDA"/>
    <w:rsid w:val="00C37173"/>
    <w:rsid w:val="00C3743C"/>
    <w:rsid w:val="00C37AD4"/>
    <w:rsid w:val="00C37CB4"/>
    <w:rsid w:val="00C37EEF"/>
    <w:rsid w:val="00C405DE"/>
    <w:rsid w:val="00C40A73"/>
    <w:rsid w:val="00C40EF8"/>
    <w:rsid w:val="00C40F2E"/>
    <w:rsid w:val="00C41009"/>
    <w:rsid w:val="00C417A5"/>
    <w:rsid w:val="00C4194F"/>
    <w:rsid w:val="00C41B4F"/>
    <w:rsid w:val="00C426A8"/>
    <w:rsid w:val="00C428D3"/>
    <w:rsid w:val="00C42B32"/>
    <w:rsid w:val="00C4386A"/>
    <w:rsid w:val="00C43B80"/>
    <w:rsid w:val="00C44513"/>
    <w:rsid w:val="00C4463C"/>
    <w:rsid w:val="00C44648"/>
    <w:rsid w:val="00C446E5"/>
    <w:rsid w:val="00C44F26"/>
    <w:rsid w:val="00C45387"/>
    <w:rsid w:val="00C45478"/>
    <w:rsid w:val="00C45686"/>
    <w:rsid w:val="00C45946"/>
    <w:rsid w:val="00C45A88"/>
    <w:rsid w:val="00C45CCE"/>
    <w:rsid w:val="00C46297"/>
    <w:rsid w:val="00C462F4"/>
    <w:rsid w:val="00C46538"/>
    <w:rsid w:val="00C46765"/>
    <w:rsid w:val="00C476E4"/>
    <w:rsid w:val="00C47B88"/>
    <w:rsid w:val="00C47D4D"/>
    <w:rsid w:val="00C50077"/>
    <w:rsid w:val="00C50548"/>
    <w:rsid w:val="00C50EF7"/>
    <w:rsid w:val="00C510A2"/>
    <w:rsid w:val="00C521E3"/>
    <w:rsid w:val="00C5263E"/>
    <w:rsid w:val="00C52B63"/>
    <w:rsid w:val="00C52EF4"/>
    <w:rsid w:val="00C531A1"/>
    <w:rsid w:val="00C53C10"/>
    <w:rsid w:val="00C54740"/>
    <w:rsid w:val="00C5476D"/>
    <w:rsid w:val="00C54D62"/>
    <w:rsid w:val="00C55530"/>
    <w:rsid w:val="00C556D6"/>
    <w:rsid w:val="00C556F0"/>
    <w:rsid w:val="00C559D2"/>
    <w:rsid w:val="00C55D43"/>
    <w:rsid w:val="00C60057"/>
    <w:rsid w:val="00C606C1"/>
    <w:rsid w:val="00C60C24"/>
    <w:rsid w:val="00C60ED4"/>
    <w:rsid w:val="00C60F2E"/>
    <w:rsid w:val="00C61095"/>
    <w:rsid w:val="00C6119D"/>
    <w:rsid w:val="00C6128E"/>
    <w:rsid w:val="00C612B7"/>
    <w:rsid w:val="00C61342"/>
    <w:rsid w:val="00C61522"/>
    <w:rsid w:val="00C61FC8"/>
    <w:rsid w:val="00C62143"/>
    <w:rsid w:val="00C6220C"/>
    <w:rsid w:val="00C62259"/>
    <w:rsid w:val="00C625EE"/>
    <w:rsid w:val="00C627CF"/>
    <w:rsid w:val="00C629B0"/>
    <w:rsid w:val="00C6329B"/>
    <w:rsid w:val="00C63433"/>
    <w:rsid w:val="00C64350"/>
    <w:rsid w:val="00C646CF"/>
    <w:rsid w:val="00C64958"/>
    <w:rsid w:val="00C64E75"/>
    <w:rsid w:val="00C64F6F"/>
    <w:rsid w:val="00C651B8"/>
    <w:rsid w:val="00C6530C"/>
    <w:rsid w:val="00C65A24"/>
    <w:rsid w:val="00C65BC0"/>
    <w:rsid w:val="00C662AC"/>
    <w:rsid w:val="00C66913"/>
    <w:rsid w:val="00C66E2C"/>
    <w:rsid w:val="00C676D3"/>
    <w:rsid w:val="00C700BA"/>
    <w:rsid w:val="00C71100"/>
    <w:rsid w:val="00C71460"/>
    <w:rsid w:val="00C71A9B"/>
    <w:rsid w:val="00C71BDD"/>
    <w:rsid w:val="00C71D69"/>
    <w:rsid w:val="00C72006"/>
    <w:rsid w:val="00C7217D"/>
    <w:rsid w:val="00C7261F"/>
    <w:rsid w:val="00C726C1"/>
    <w:rsid w:val="00C72881"/>
    <w:rsid w:val="00C73286"/>
    <w:rsid w:val="00C73769"/>
    <w:rsid w:val="00C73E84"/>
    <w:rsid w:val="00C73EA6"/>
    <w:rsid w:val="00C74DAE"/>
    <w:rsid w:val="00C75844"/>
    <w:rsid w:val="00C758E7"/>
    <w:rsid w:val="00C75ADA"/>
    <w:rsid w:val="00C75DD0"/>
    <w:rsid w:val="00C75FE8"/>
    <w:rsid w:val="00C766C3"/>
    <w:rsid w:val="00C76808"/>
    <w:rsid w:val="00C76C8D"/>
    <w:rsid w:val="00C76CD2"/>
    <w:rsid w:val="00C76CF1"/>
    <w:rsid w:val="00C77531"/>
    <w:rsid w:val="00C77C3C"/>
    <w:rsid w:val="00C77CEE"/>
    <w:rsid w:val="00C800A8"/>
    <w:rsid w:val="00C8055A"/>
    <w:rsid w:val="00C806A9"/>
    <w:rsid w:val="00C807D8"/>
    <w:rsid w:val="00C80EA0"/>
    <w:rsid w:val="00C81225"/>
    <w:rsid w:val="00C81253"/>
    <w:rsid w:val="00C81711"/>
    <w:rsid w:val="00C81AF4"/>
    <w:rsid w:val="00C81F52"/>
    <w:rsid w:val="00C8213E"/>
    <w:rsid w:val="00C82B0F"/>
    <w:rsid w:val="00C82CCB"/>
    <w:rsid w:val="00C83129"/>
    <w:rsid w:val="00C832FB"/>
    <w:rsid w:val="00C83444"/>
    <w:rsid w:val="00C835F4"/>
    <w:rsid w:val="00C83AED"/>
    <w:rsid w:val="00C83F27"/>
    <w:rsid w:val="00C84243"/>
    <w:rsid w:val="00C84504"/>
    <w:rsid w:val="00C84559"/>
    <w:rsid w:val="00C847A0"/>
    <w:rsid w:val="00C84A34"/>
    <w:rsid w:val="00C85BAC"/>
    <w:rsid w:val="00C862DA"/>
    <w:rsid w:val="00C872F3"/>
    <w:rsid w:val="00C87456"/>
    <w:rsid w:val="00C87C02"/>
    <w:rsid w:val="00C87CFB"/>
    <w:rsid w:val="00C87F62"/>
    <w:rsid w:val="00C90A68"/>
    <w:rsid w:val="00C90F83"/>
    <w:rsid w:val="00C9157C"/>
    <w:rsid w:val="00C91675"/>
    <w:rsid w:val="00C91A15"/>
    <w:rsid w:val="00C91AC3"/>
    <w:rsid w:val="00C91AD2"/>
    <w:rsid w:val="00C923D7"/>
    <w:rsid w:val="00C925D7"/>
    <w:rsid w:val="00C926C6"/>
    <w:rsid w:val="00C92896"/>
    <w:rsid w:val="00C92BAD"/>
    <w:rsid w:val="00C92CC7"/>
    <w:rsid w:val="00C92D1D"/>
    <w:rsid w:val="00C92E12"/>
    <w:rsid w:val="00C9308B"/>
    <w:rsid w:val="00C933A1"/>
    <w:rsid w:val="00C933DB"/>
    <w:rsid w:val="00C93561"/>
    <w:rsid w:val="00C938F2"/>
    <w:rsid w:val="00C939BD"/>
    <w:rsid w:val="00C93AE4"/>
    <w:rsid w:val="00C93C61"/>
    <w:rsid w:val="00C943CE"/>
    <w:rsid w:val="00C944FB"/>
    <w:rsid w:val="00C949AF"/>
    <w:rsid w:val="00C95AED"/>
    <w:rsid w:val="00C95BF5"/>
    <w:rsid w:val="00C95DB7"/>
    <w:rsid w:val="00C967D4"/>
    <w:rsid w:val="00C96DDD"/>
    <w:rsid w:val="00C96FB7"/>
    <w:rsid w:val="00C97D60"/>
    <w:rsid w:val="00C97F29"/>
    <w:rsid w:val="00CA05E3"/>
    <w:rsid w:val="00CA11AA"/>
    <w:rsid w:val="00CA124D"/>
    <w:rsid w:val="00CA16E5"/>
    <w:rsid w:val="00CA196A"/>
    <w:rsid w:val="00CA1AB2"/>
    <w:rsid w:val="00CA1F00"/>
    <w:rsid w:val="00CA265A"/>
    <w:rsid w:val="00CA2667"/>
    <w:rsid w:val="00CA2DD4"/>
    <w:rsid w:val="00CA36D4"/>
    <w:rsid w:val="00CA3BAC"/>
    <w:rsid w:val="00CA3C10"/>
    <w:rsid w:val="00CA3E78"/>
    <w:rsid w:val="00CA3EF4"/>
    <w:rsid w:val="00CA3F23"/>
    <w:rsid w:val="00CA42F8"/>
    <w:rsid w:val="00CA4A03"/>
    <w:rsid w:val="00CA4D31"/>
    <w:rsid w:val="00CA4D54"/>
    <w:rsid w:val="00CA6860"/>
    <w:rsid w:val="00CA6A63"/>
    <w:rsid w:val="00CA79A6"/>
    <w:rsid w:val="00CA7B66"/>
    <w:rsid w:val="00CA7B7A"/>
    <w:rsid w:val="00CB0130"/>
    <w:rsid w:val="00CB0842"/>
    <w:rsid w:val="00CB0A9A"/>
    <w:rsid w:val="00CB0DF6"/>
    <w:rsid w:val="00CB0EE9"/>
    <w:rsid w:val="00CB1077"/>
    <w:rsid w:val="00CB1586"/>
    <w:rsid w:val="00CB1AEE"/>
    <w:rsid w:val="00CB1CCB"/>
    <w:rsid w:val="00CB2289"/>
    <w:rsid w:val="00CB24C4"/>
    <w:rsid w:val="00CB2978"/>
    <w:rsid w:val="00CB2A5B"/>
    <w:rsid w:val="00CB31E9"/>
    <w:rsid w:val="00CB3B2F"/>
    <w:rsid w:val="00CB3FBF"/>
    <w:rsid w:val="00CB3FC8"/>
    <w:rsid w:val="00CB454D"/>
    <w:rsid w:val="00CB4FD5"/>
    <w:rsid w:val="00CB51FA"/>
    <w:rsid w:val="00CB57E5"/>
    <w:rsid w:val="00CB5A2C"/>
    <w:rsid w:val="00CB5F34"/>
    <w:rsid w:val="00CB6033"/>
    <w:rsid w:val="00CB6284"/>
    <w:rsid w:val="00CB7316"/>
    <w:rsid w:val="00CB7705"/>
    <w:rsid w:val="00CB7D44"/>
    <w:rsid w:val="00CC030F"/>
    <w:rsid w:val="00CC07C7"/>
    <w:rsid w:val="00CC0E07"/>
    <w:rsid w:val="00CC0FDB"/>
    <w:rsid w:val="00CC15D6"/>
    <w:rsid w:val="00CC17DB"/>
    <w:rsid w:val="00CC1883"/>
    <w:rsid w:val="00CC1B2F"/>
    <w:rsid w:val="00CC2C5C"/>
    <w:rsid w:val="00CC2FCA"/>
    <w:rsid w:val="00CC361C"/>
    <w:rsid w:val="00CC3965"/>
    <w:rsid w:val="00CC497A"/>
    <w:rsid w:val="00CC4C7B"/>
    <w:rsid w:val="00CC4E19"/>
    <w:rsid w:val="00CC4E4C"/>
    <w:rsid w:val="00CC5543"/>
    <w:rsid w:val="00CC6909"/>
    <w:rsid w:val="00CC7033"/>
    <w:rsid w:val="00CC76F6"/>
    <w:rsid w:val="00CC7E38"/>
    <w:rsid w:val="00CD051C"/>
    <w:rsid w:val="00CD09D2"/>
    <w:rsid w:val="00CD175E"/>
    <w:rsid w:val="00CD17E8"/>
    <w:rsid w:val="00CD188B"/>
    <w:rsid w:val="00CD1B31"/>
    <w:rsid w:val="00CD1C68"/>
    <w:rsid w:val="00CD2D68"/>
    <w:rsid w:val="00CD3317"/>
    <w:rsid w:val="00CD364D"/>
    <w:rsid w:val="00CD3896"/>
    <w:rsid w:val="00CD3B45"/>
    <w:rsid w:val="00CD3CC1"/>
    <w:rsid w:val="00CD3FEF"/>
    <w:rsid w:val="00CD436B"/>
    <w:rsid w:val="00CD4CD8"/>
    <w:rsid w:val="00CD50AF"/>
    <w:rsid w:val="00CD5B76"/>
    <w:rsid w:val="00CD5C34"/>
    <w:rsid w:val="00CD5D09"/>
    <w:rsid w:val="00CD5FEA"/>
    <w:rsid w:val="00CD6670"/>
    <w:rsid w:val="00CD6F81"/>
    <w:rsid w:val="00CD7387"/>
    <w:rsid w:val="00CD7999"/>
    <w:rsid w:val="00CD7B0B"/>
    <w:rsid w:val="00CD7D20"/>
    <w:rsid w:val="00CD7EDF"/>
    <w:rsid w:val="00CE00EC"/>
    <w:rsid w:val="00CE0128"/>
    <w:rsid w:val="00CE02D9"/>
    <w:rsid w:val="00CE04B1"/>
    <w:rsid w:val="00CE0703"/>
    <w:rsid w:val="00CE0996"/>
    <w:rsid w:val="00CE0C89"/>
    <w:rsid w:val="00CE0E7A"/>
    <w:rsid w:val="00CE12D1"/>
    <w:rsid w:val="00CE12E6"/>
    <w:rsid w:val="00CE1788"/>
    <w:rsid w:val="00CE1B74"/>
    <w:rsid w:val="00CE223E"/>
    <w:rsid w:val="00CE224D"/>
    <w:rsid w:val="00CE2D73"/>
    <w:rsid w:val="00CE3892"/>
    <w:rsid w:val="00CE3AC6"/>
    <w:rsid w:val="00CE3C91"/>
    <w:rsid w:val="00CE3F59"/>
    <w:rsid w:val="00CE427D"/>
    <w:rsid w:val="00CE42C5"/>
    <w:rsid w:val="00CE4D69"/>
    <w:rsid w:val="00CE5151"/>
    <w:rsid w:val="00CE5D56"/>
    <w:rsid w:val="00CE66EA"/>
    <w:rsid w:val="00CE690B"/>
    <w:rsid w:val="00CE72F7"/>
    <w:rsid w:val="00CE7334"/>
    <w:rsid w:val="00CE7685"/>
    <w:rsid w:val="00CE7BF8"/>
    <w:rsid w:val="00CE7CA1"/>
    <w:rsid w:val="00CF00B6"/>
    <w:rsid w:val="00CF0DF6"/>
    <w:rsid w:val="00CF1367"/>
    <w:rsid w:val="00CF1480"/>
    <w:rsid w:val="00CF1A06"/>
    <w:rsid w:val="00CF2312"/>
    <w:rsid w:val="00CF235A"/>
    <w:rsid w:val="00CF275F"/>
    <w:rsid w:val="00CF2CC9"/>
    <w:rsid w:val="00CF3121"/>
    <w:rsid w:val="00CF428F"/>
    <w:rsid w:val="00CF4541"/>
    <w:rsid w:val="00CF47A6"/>
    <w:rsid w:val="00CF49D2"/>
    <w:rsid w:val="00CF4E51"/>
    <w:rsid w:val="00CF548E"/>
    <w:rsid w:val="00CF5533"/>
    <w:rsid w:val="00CF58FD"/>
    <w:rsid w:val="00CF62C5"/>
    <w:rsid w:val="00CF6366"/>
    <w:rsid w:val="00CF661D"/>
    <w:rsid w:val="00CF66F9"/>
    <w:rsid w:val="00CF6916"/>
    <w:rsid w:val="00CF6D76"/>
    <w:rsid w:val="00CF6FE2"/>
    <w:rsid w:val="00CF75AC"/>
    <w:rsid w:val="00CF79F6"/>
    <w:rsid w:val="00CF7B48"/>
    <w:rsid w:val="00CF7D75"/>
    <w:rsid w:val="00D002FC"/>
    <w:rsid w:val="00D0081B"/>
    <w:rsid w:val="00D00D7A"/>
    <w:rsid w:val="00D011BB"/>
    <w:rsid w:val="00D015D9"/>
    <w:rsid w:val="00D01638"/>
    <w:rsid w:val="00D01B2D"/>
    <w:rsid w:val="00D01BB2"/>
    <w:rsid w:val="00D01D11"/>
    <w:rsid w:val="00D01E1E"/>
    <w:rsid w:val="00D0208D"/>
    <w:rsid w:val="00D0216F"/>
    <w:rsid w:val="00D0220E"/>
    <w:rsid w:val="00D0259A"/>
    <w:rsid w:val="00D025DF"/>
    <w:rsid w:val="00D02843"/>
    <w:rsid w:val="00D02F79"/>
    <w:rsid w:val="00D03973"/>
    <w:rsid w:val="00D03E65"/>
    <w:rsid w:val="00D044FB"/>
    <w:rsid w:val="00D04867"/>
    <w:rsid w:val="00D04FAA"/>
    <w:rsid w:val="00D04FB3"/>
    <w:rsid w:val="00D056AE"/>
    <w:rsid w:val="00D05A0C"/>
    <w:rsid w:val="00D05B24"/>
    <w:rsid w:val="00D05DF3"/>
    <w:rsid w:val="00D05E95"/>
    <w:rsid w:val="00D062B1"/>
    <w:rsid w:val="00D0689A"/>
    <w:rsid w:val="00D0725F"/>
    <w:rsid w:val="00D07554"/>
    <w:rsid w:val="00D0755F"/>
    <w:rsid w:val="00D10889"/>
    <w:rsid w:val="00D10C62"/>
    <w:rsid w:val="00D10F8D"/>
    <w:rsid w:val="00D118BB"/>
    <w:rsid w:val="00D11ECE"/>
    <w:rsid w:val="00D125D2"/>
    <w:rsid w:val="00D129AB"/>
    <w:rsid w:val="00D12B24"/>
    <w:rsid w:val="00D12D9F"/>
    <w:rsid w:val="00D12DE0"/>
    <w:rsid w:val="00D12F32"/>
    <w:rsid w:val="00D13380"/>
    <w:rsid w:val="00D135FA"/>
    <w:rsid w:val="00D139FA"/>
    <w:rsid w:val="00D13E0B"/>
    <w:rsid w:val="00D13F6E"/>
    <w:rsid w:val="00D13FD3"/>
    <w:rsid w:val="00D14CFC"/>
    <w:rsid w:val="00D154CE"/>
    <w:rsid w:val="00D15548"/>
    <w:rsid w:val="00D155F1"/>
    <w:rsid w:val="00D15834"/>
    <w:rsid w:val="00D159E3"/>
    <w:rsid w:val="00D1608C"/>
    <w:rsid w:val="00D1620C"/>
    <w:rsid w:val="00D1644D"/>
    <w:rsid w:val="00D168B3"/>
    <w:rsid w:val="00D16ADD"/>
    <w:rsid w:val="00D17081"/>
    <w:rsid w:val="00D17281"/>
    <w:rsid w:val="00D207DE"/>
    <w:rsid w:val="00D208B9"/>
    <w:rsid w:val="00D20963"/>
    <w:rsid w:val="00D20E47"/>
    <w:rsid w:val="00D21B64"/>
    <w:rsid w:val="00D21CBE"/>
    <w:rsid w:val="00D21F1C"/>
    <w:rsid w:val="00D2229F"/>
    <w:rsid w:val="00D222B7"/>
    <w:rsid w:val="00D22634"/>
    <w:rsid w:val="00D2323F"/>
    <w:rsid w:val="00D235C6"/>
    <w:rsid w:val="00D238E8"/>
    <w:rsid w:val="00D23945"/>
    <w:rsid w:val="00D23A1B"/>
    <w:rsid w:val="00D241D2"/>
    <w:rsid w:val="00D24C51"/>
    <w:rsid w:val="00D24D79"/>
    <w:rsid w:val="00D24F07"/>
    <w:rsid w:val="00D2526A"/>
    <w:rsid w:val="00D25808"/>
    <w:rsid w:val="00D25B57"/>
    <w:rsid w:val="00D25C43"/>
    <w:rsid w:val="00D25DB2"/>
    <w:rsid w:val="00D2632B"/>
    <w:rsid w:val="00D263C4"/>
    <w:rsid w:val="00D26938"/>
    <w:rsid w:val="00D26D95"/>
    <w:rsid w:val="00D26EC2"/>
    <w:rsid w:val="00D27307"/>
    <w:rsid w:val="00D3014A"/>
    <w:rsid w:val="00D302F7"/>
    <w:rsid w:val="00D3056F"/>
    <w:rsid w:val="00D308D5"/>
    <w:rsid w:val="00D30CC9"/>
    <w:rsid w:val="00D3118E"/>
    <w:rsid w:val="00D31787"/>
    <w:rsid w:val="00D319E8"/>
    <w:rsid w:val="00D320AE"/>
    <w:rsid w:val="00D320BB"/>
    <w:rsid w:val="00D32140"/>
    <w:rsid w:val="00D340D6"/>
    <w:rsid w:val="00D3458B"/>
    <w:rsid w:val="00D34639"/>
    <w:rsid w:val="00D34B5F"/>
    <w:rsid w:val="00D34B6B"/>
    <w:rsid w:val="00D3531E"/>
    <w:rsid w:val="00D3547C"/>
    <w:rsid w:val="00D364DA"/>
    <w:rsid w:val="00D3652F"/>
    <w:rsid w:val="00D36541"/>
    <w:rsid w:val="00D36784"/>
    <w:rsid w:val="00D36830"/>
    <w:rsid w:val="00D3685A"/>
    <w:rsid w:val="00D36B3E"/>
    <w:rsid w:val="00D36BB3"/>
    <w:rsid w:val="00D37422"/>
    <w:rsid w:val="00D3769D"/>
    <w:rsid w:val="00D37BE0"/>
    <w:rsid w:val="00D37F6F"/>
    <w:rsid w:val="00D405A2"/>
    <w:rsid w:val="00D405A3"/>
    <w:rsid w:val="00D40919"/>
    <w:rsid w:val="00D4108C"/>
    <w:rsid w:val="00D415C8"/>
    <w:rsid w:val="00D41917"/>
    <w:rsid w:val="00D41E44"/>
    <w:rsid w:val="00D422F6"/>
    <w:rsid w:val="00D42803"/>
    <w:rsid w:val="00D42EF0"/>
    <w:rsid w:val="00D430F3"/>
    <w:rsid w:val="00D43AEA"/>
    <w:rsid w:val="00D43AF7"/>
    <w:rsid w:val="00D44229"/>
    <w:rsid w:val="00D4451F"/>
    <w:rsid w:val="00D445EE"/>
    <w:rsid w:val="00D449CE"/>
    <w:rsid w:val="00D44DFC"/>
    <w:rsid w:val="00D45269"/>
    <w:rsid w:val="00D45807"/>
    <w:rsid w:val="00D45C96"/>
    <w:rsid w:val="00D45E16"/>
    <w:rsid w:val="00D45E5E"/>
    <w:rsid w:val="00D461E5"/>
    <w:rsid w:val="00D463D7"/>
    <w:rsid w:val="00D4669D"/>
    <w:rsid w:val="00D46887"/>
    <w:rsid w:val="00D4738A"/>
    <w:rsid w:val="00D474B1"/>
    <w:rsid w:val="00D47985"/>
    <w:rsid w:val="00D47AFF"/>
    <w:rsid w:val="00D50525"/>
    <w:rsid w:val="00D50932"/>
    <w:rsid w:val="00D50970"/>
    <w:rsid w:val="00D5186B"/>
    <w:rsid w:val="00D51910"/>
    <w:rsid w:val="00D51DC1"/>
    <w:rsid w:val="00D51FFF"/>
    <w:rsid w:val="00D520A1"/>
    <w:rsid w:val="00D52227"/>
    <w:rsid w:val="00D529F5"/>
    <w:rsid w:val="00D536CD"/>
    <w:rsid w:val="00D537EB"/>
    <w:rsid w:val="00D53ED9"/>
    <w:rsid w:val="00D5435F"/>
    <w:rsid w:val="00D54451"/>
    <w:rsid w:val="00D54EB8"/>
    <w:rsid w:val="00D553F1"/>
    <w:rsid w:val="00D554A1"/>
    <w:rsid w:val="00D554FA"/>
    <w:rsid w:val="00D55870"/>
    <w:rsid w:val="00D55E63"/>
    <w:rsid w:val="00D56489"/>
    <w:rsid w:val="00D564C2"/>
    <w:rsid w:val="00D56CDA"/>
    <w:rsid w:val="00D574CD"/>
    <w:rsid w:val="00D574FF"/>
    <w:rsid w:val="00D57A39"/>
    <w:rsid w:val="00D57E58"/>
    <w:rsid w:val="00D60714"/>
    <w:rsid w:val="00D6076F"/>
    <w:rsid w:val="00D609C8"/>
    <w:rsid w:val="00D61080"/>
    <w:rsid w:val="00D61AD9"/>
    <w:rsid w:val="00D61AFC"/>
    <w:rsid w:val="00D61D76"/>
    <w:rsid w:val="00D62105"/>
    <w:rsid w:val="00D62126"/>
    <w:rsid w:val="00D6215F"/>
    <w:rsid w:val="00D623C2"/>
    <w:rsid w:val="00D62480"/>
    <w:rsid w:val="00D63A06"/>
    <w:rsid w:val="00D63D38"/>
    <w:rsid w:val="00D63F14"/>
    <w:rsid w:val="00D64001"/>
    <w:rsid w:val="00D64096"/>
    <w:rsid w:val="00D64231"/>
    <w:rsid w:val="00D6450A"/>
    <w:rsid w:val="00D6463C"/>
    <w:rsid w:val="00D6491E"/>
    <w:rsid w:val="00D65BA0"/>
    <w:rsid w:val="00D66833"/>
    <w:rsid w:val="00D66A2A"/>
    <w:rsid w:val="00D66A53"/>
    <w:rsid w:val="00D66F64"/>
    <w:rsid w:val="00D67181"/>
    <w:rsid w:val="00D673C0"/>
    <w:rsid w:val="00D675FC"/>
    <w:rsid w:val="00D6780B"/>
    <w:rsid w:val="00D7009A"/>
    <w:rsid w:val="00D70A3D"/>
    <w:rsid w:val="00D70C46"/>
    <w:rsid w:val="00D70F11"/>
    <w:rsid w:val="00D711EA"/>
    <w:rsid w:val="00D712B8"/>
    <w:rsid w:val="00D71475"/>
    <w:rsid w:val="00D71611"/>
    <w:rsid w:val="00D71DE7"/>
    <w:rsid w:val="00D720E5"/>
    <w:rsid w:val="00D72337"/>
    <w:rsid w:val="00D72590"/>
    <w:rsid w:val="00D727E6"/>
    <w:rsid w:val="00D72BED"/>
    <w:rsid w:val="00D72E6E"/>
    <w:rsid w:val="00D731F1"/>
    <w:rsid w:val="00D7342E"/>
    <w:rsid w:val="00D734CC"/>
    <w:rsid w:val="00D7364C"/>
    <w:rsid w:val="00D73AA5"/>
    <w:rsid w:val="00D745A3"/>
    <w:rsid w:val="00D746DD"/>
    <w:rsid w:val="00D74962"/>
    <w:rsid w:val="00D7518B"/>
    <w:rsid w:val="00D75567"/>
    <w:rsid w:val="00D757C0"/>
    <w:rsid w:val="00D759EB"/>
    <w:rsid w:val="00D75AC6"/>
    <w:rsid w:val="00D7619F"/>
    <w:rsid w:val="00D76EEF"/>
    <w:rsid w:val="00D773B4"/>
    <w:rsid w:val="00D77596"/>
    <w:rsid w:val="00D77617"/>
    <w:rsid w:val="00D776A7"/>
    <w:rsid w:val="00D77D78"/>
    <w:rsid w:val="00D807C6"/>
    <w:rsid w:val="00D80864"/>
    <w:rsid w:val="00D80A31"/>
    <w:rsid w:val="00D8141C"/>
    <w:rsid w:val="00D814FB"/>
    <w:rsid w:val="00D817A2"/>
    <w:rsid w:val="00D820ED"/>
    <w:rsid w:val="00D82256"/>
    <w:rsid w:val="00D82798"/>
    <w:rsid w:val="00D82908"/>
    <w:rsid w:val="00D82FA6"/>
    <w:rsid w:val="00D83406"/>
    <w:rsid w:val="00D834F9"/>
    <w:rsid w:val="00D8397C"/>
    <w:rsid w:val="00D83C6E"/>
    <w:rsid w:val="00D83E48"/>
    <w:rsid w:val="00D83E5F"/>
    <w:rsid w:val="00D8441E"/>
    <w:rsid w:val="00D84C62"/>
    <w:rsid w:val="00D84D9A"/>
    <w:rsid w:val="00D85684"/>
    <w:rsid w:val="00D858DB"/>
    <w:rsid w:val="00D85BB8"/>
    <w:rsid w:val="00D85F7C"/>
    <w:rsid w:val="00D862FC"/>
    <w:rsid w:val="00D86341"/>
    <w:rsid w:val="00D86D30"/>
    <w:rsid w:val="00D86E41"/>
    <w:rsid w:val="00D86EFF"/>
    <w:rsid w:val="00D86F4C"/>
    <w:rsid w:val="00D87024"/>
    <w:rsid w:val="00D8727E"/>
    <w:rsid w:val="00D87420"/>
    <w:rsid w:val="00D87668"/>
    <w:rsid w:val="00D900AF"/>
    <w:rsid w:val="00D901A3"/>
    <w:rsid w:val="00D90A39"/>
    <w:rsid w:val="00D9128A"/>
    <w:rsid w:val="00D91464"/>
    <w:rsid w:val="00D916F6"/>
    <w:rsid w:val="00D9173C"/>
    <w:rsid w:val="00D930CE"/>
    <w:rsid w:val="00D9368C"/>
    <w:rsid w:val="00D936D8"/>
    <w:rsid w:val="00D93869"/>
    <w:rsid w:val="00D93955"/>
    <w:rsid w:val="00D941AD"/>
    <w:rsid w:val="00D94412"/>
    <w:rsid w:val="00D94969"/>
    <w:rsid w:val="00D94A00"/>
    <w:rsid w:val="00D94F7D"/>
    <w:rsid w:val="00D951A9"/>
    <w:rsid w:val="00D951CC"/>
    <w:rsid w:val="00D95FB2"/>
    <w:rsid w:val="00D96C79"/>
    <w:rsid w:val="00D978E6"/>
    <w:rsid w:val="00D979CF"/>
    <w:rsid w:val="00DA0068"/>
    <w:rsid w:val="00DA096E"/>
    <w:rsid w:val="00DA0DEB"/>
    <w:rsid w:val="00DA1175"/>
    <w:rsid w:val="00DA13FC"/>
    <w:rsid w:val="00DA147A"/>
    <w:rsid w:val="00DA148F"/>
    <w:rsid w:val="00DA175B"/>
    <w:rsid w:val="00DA17B8"/>
    <w:rsid w:val="00DA1AE7"/>
    <w:rsid w:val="00DA1FDC"/>
    <w:rsid w:val="00DA28B2"/>
    <w:rsid w:val="00DA2AD2"/>
    <w:rsid w:val="00DA3C6C"/>
    <w:rsid w:val="00DA3FB8"/>
    <w:rsid w:val="00DA4108"/>
    <w:rsid w:val="00DA4666"/>
    <w:rsid w:val="00DA466D"/>
    <w:rsid w:val="00DA4E6F"/>
    <w:rsid w:val="00DA5198"/>
    <w:rsid w:val="00DA5475"/>
    <w:rsid w:val="00DA560A"/>
    <w:rsid w:val="00DA5C84"/>
    <w:rsid w:val="00DA61F2"/>
    <w:rsid w:val="00DA6F76"/>
    <w:rsid w:val="00DA78C4"/>
    <w:rsid w:val="00DA7930"/>
    <w:rsid w:val="00DB122A"/>
    <w:rsid w:val="00DB27D9"/>
    <w:rsid w:val="00DB2918"/>
    <w:rsid w:val="00DB2AC9"/>
    <w:rsid w:val="00DB320F"/>
    <w:rsid w:val="00DB4200"/>
    <w:rsid w:val="00DB4530"/>
    <w:rsid w:val="00DB4611"/>
    <w:rsid w:val="00DB4F1A"/>
    <w:rsid w:val="00DB53E3"/>
    <w:rsid w:val="00DB5DCC"/>
    <w:rsid w:val="00DB6EDF"/>
    <w:rsid w:val="00DB7101"/>
    <w:rsid w:val="00DB7AFF"/>
    <w:rsid w:val="00DC0136"/>
    <w:rsid w:val="00DC02B3"/>
    <w:rsid w:val="00DC04E4"/>
    <w:rsid w:val="00DC083F"/>
    <w:rsid w:val="00DC0F91"/>
    <w:rsid w:val="00DC11B7"/>
    <w:rsid w:val="00DC153C"/>
    <w:rsid w:val="00DC17C4"/>
    <w:rsid w:val="00DC17E5"/>
    <w:rsid w:val="00DC1A69"/>
    <w:rsid w:val="00DC1B7F"/>
    <w:rsid w:val="00DC2172"/>
    <w:rsid w:val="00DC2543"/>
    <w:rsid w:val="00DC288A"/>
    <w:rsid w:val="00DC2909"/>
    <w:rsid w:val="00DC37D7"/>
    <w:rsid w:val="00DC3A11"/>
    <w:rsid w:val="00DC3B90"/>
    <w:rsid w:val="00DC42CE"/>
    <w:rsid w:val="00DC43DD"/>
    <w:rsid w:val="00DC4615"/>
    <w:rsid w:val="00DC4AD1"/>
    <w:rsid w:val="00DC4B8F"/>
    <w:rsid w:val="00DC4D65"/>
    <w:rsid w:val="00DC5359"/>
    <w:rsid w:val="00DC5C05"/>
    <w:rsid w:val="00DC63B8"/>
    <w:rsid w:val="00DC6824"/>
    <w:rsid w:val="00DC7627"/>
    <w:rsid w:val="00DC7B40"/>
    <w:rsid w:val="00DC7F6E"/>
    <w:rsid w:val="00DD019C"/>
    <w:rsid w:val="00DD05A3"/>
    <w:rsid w:val="00DD1478"/>
    <w:rsid w:val="00DD2387"/>
    <w:rsid w:val="00DD2552"/>
    <w:rsid w:val="00DD2899"/>
    <w:rsid w:val="00DD2C3A"/>
    <w:rsid w:val="00DD2E68"/>
    <w:rsid w:val="00DD3527"/>
    <w:rsid w:val="00DD359F"/>
    <w:rsid w:val="00DD3B65"/>
    <w:rsid w:val="00DD3C71"/>
    <w:rsid w:val="00DD3CBC"/>
    <w:rsid w:val="00DD408D"/>
    <w:rsid w:val="00DD428D"/>
    <w:rsid w:val="00DD43AA"/>
    <w:rsid w:val="00DD43DB"/>
    <w:rsid w:val="00DD44C4"/>
    <w:rsid w:val="00DD5167"/>
    <w:rsid w:val="00DD563E"/>
    <w:rsid w:val="00DD581B"/>
    <w:rsid w:val="00DD62D1"/>
    <w:rsid w:val="00DD6383"/>
    <w:rsid w:val="00DD6B72"/>
    <w:rsid w:val="00DD71AF"/>
    <w:rsid w:val="00DD7435"/>
    <w:rsid w:val="00DD7565"/>
    <w:rsid w:val="00DD79A3"/>
    <w:rsid w:val="00DD7B19"/>
    <w:rsid w:val="00DD7BC4"/>
    <w:rsid w:val="00DD7D80"/>
    <w:rsid w:val="00DD7FA8"/>
    <w:rsid w:val="00DE01F2"/>
    <w:rsid w:val="00DE03D5"/>
    <w:rsid w:val="00DE0428"/>
    <w:rsid w:val="00DE0683"/>
    <w:rsid w:val="00DE0E11"/>
    <w:rsid w:val="00DE1154"/>
    <w:rsid w:val="00DE1195"/>
    <w:rsid w:val="00DE1F9E"/>
    <w:rsid w:val="00DE2012"/>
    <w:rsid w:val="00DE2456"/>
    <w:rsid w:val="00DE2534"/>
    <w:rsid w:val="00DE25D9"/>
    <w:rsid w:val="00DE28A3"/>
    <w:rsid w:val="00DE29CD"/>
    <w:rsid w:val="00DE30D6"/>
    <w:rsid w:val="00DE33F4"/>
    <w:rsid w:val="00DE360A"/>
    <w:rsid w:val="00DE3EC4"/>
    <w:rsid w:val="00DE4427"/>
    <w:rsid w:val="00DE4588"/>
    <w:rsid w:val="00DE497C"/>
    <w:rsid w:val="00DE49A7"/>
    <w:rsid w:val="00DE4C0E"/>
    <w:rsid w:val="00DE4FFF"/>
    <w:rsid w:val="00DE5355"/>
    <w:rsid w:val="00DE53E4"/>
    <w:rsid w:val="00DE5407"/>
    <w:rsid w:val="00DE5876"/>
    <w:rsid w:val="00DE69F3"/>
    <w:rsid w:val="00DE7756"/>
    <w:rsid w:val="00DE7E34"/>
    <w:rsid w:val="00DE7F2F"/>
    <w:rsid w:val="00DE7FA6"/>
    <w:rsid w:val="00DF0789"/>
    <w:rsid w:val="00DF1283"/>
    <w:rsid w:val="00DF13A1"/>
    <w:rsid w:val="00DF1AFA"/>
    <w:rsid w:val="00DF26A6"/>
    <w:rsid w:val="00DF277B"/>
    <w:rsid w:val="00DF324E"/>
    <w:rsid w:val="00DF3379"/>
    <w:rsid w:val="00DF369C"/>
    <w:rsid w:val="00DF417C"/>
    <w:rsid w:val="00DF4E72"/>
    <w:rsid w:val="00DF5109"/>
    <w:rsid w:val="00DF514B"/>
    <w:rsid w:val="00DF5491"/>
    <w:rsid w:val="00DF5532"/>
    <w:rsid w:val="00DF58FA"/>
    <w:rsid w:val="00DF5A16"/>
    <w:rsid w:val="00DF6493"/>
    <w:rsid w:val="00DF6B4A"/>
    <w:rsid w:val="00DF6BB9"/>
    <w:rsid w:val="00DF741F"/>
    <w:rsid w:val="00DF7656"/>
    <w:rsid w:val="00DF7A43"/>
    <w:rsid w:val="00DF7B83"/>
    <w:rsid w:val="00E005FD"/>
    <w:rsid w:val="00E00705"/>
    <w:rsid w:val="00E00730"/>
    <w:rsid w:val="00E0094D"/>
    <w:rsid w:val="00E00B26"/>
    <w:rsid w:val="00E01007"/>
    <w:rsid w:val="00E01164"/>
    <w:rsid w:val="00E01699"/>
    <w:rsid w:val="00E01F6D"/>
    <w:rsid w:val="00E022A2"/>
    <w:rsid w:val="00E023DD"/>
    <w:rsid w:val="00E02EEF"/>
    <w:rsid w:val="00E0391E"/>
    <w:rsid w:val="00E041B7"/>
    <w:rsid w:val="00E046F7"/>
    <w:rsid w:val="00E04EDF"/>
    <w:rsid w:val="00E051B2"/>
    <w:rsid w:val="00E05B9B"/>
    <w:rsid w:val="00E05BC9"/>
    <w:rsid w:val="00E05C11"/>
    <w:rsid w:val="00E05E79"/>
    <w:rsid w:val="00E0679E"/>
    <w:rsid w:val="00E06C18"/>
    <w:rsid w:val="00E07733"/>
    <w:rsid w:val="00E078DE"/>
    <w:rsid w:val="00E1068B"/>
    <w:rsid w:val="00E10920"/>
    <w:rsid w:val="00E10D5B"/>
    <w:rsid w:val="00E11C49"/>
    <w:rsid w:val="00E11CD2"/>
    <w:rsid w:val="00E11DE2"/>
    <w:rsid w:val="00E1202B"/>
    <w:rsid w:val="00E122FE"/>
    <w:rsid w:val="00E12897"/>
    <w:rsid w:val="00E12927"/>
    <w:rsid w:val="00E1317F"/>
    <w:rsid w:val="00E1324A"/>
    <w:rsid w:val="00E13687"/>
    <w:rsid w:val="00E144CC"/>
    <w:rsid w:val="00E1451F"/>
    <w:rsid w:val="00E14D3E"/>
    <w:rsid w:val="00E153E9"/>
    <w:rsid w:val="00E15738"/>
    <w:rsid w:val="00E1577A"/>
    <w:rsid w:val="00E15F50"/>
    <w:rsid w:val="00E161C5"/>
    <w:rsid w:val="00E163E6"/>
    <w:rsid w:val="00E167DC"/>
    <w:rsid w:val="00E16A99"/>
    <w:rsid w:val="00E16D71"/>
    <w:rsid w:val="00E16DF4"/>
    <w:rsid w:val="00E172E2"/>
    <w:rsid w:val="00E17366"/>
    <w:rsid w:val="00E17D76"/>
    <w:rsid w:val="00E204D3"/>
    <w:rsid w:val="00E20B70"/>
    <w:rsid w:val="00E21352"/>
    <w:rsid w:val="00E213E7"/>
    <w:rsid w:val="00E215FA"/>
    <w:rsid w:val="00E21B3E"/>
    <w:rsid w:val="00E22AED"/>
    <w:rsid w:val="00E22DA7"/>
    <w:rsid w:val="00E22F00"/>
    <w:rsid w:val="00E23157"/>
    <w:rsid w:val="00E23660"/>
    <w:rsid w:val="00E23850"/>
    <w:rsid w:val="00E23985"/>
    <w:rsid w:val="00E23D8C"/>
    <w:rsid w:val="00E23EF8"/>
    <w:rsid w:val="00E23F79"/>
    <w:rsid w:val="00E248AC"/>
    <w:rsid w:val="00E249B2"/>
    <w:rsid w:val="00E24A94"/>
    <w:rsid w:val="00E24D76"/>
    <w:rsid w:val="00E25413"/>
    <w:rsid w:val="00E25C1F"/>
    <w:rsid w:val="00E25EC8"/>
    <w:rsid w:val="00E25F52"/>
    <w:rsid w:val="00E25FAD"/>
    <w:rsid w:val="00E26158"/>
    <w:rsid w:val="00E263D3"/>
    <w:rsid w:val="00E26621"/>
    <w:rsid w:val="00E26793"/>
    <w:rsid w:val="00E27B7B"/>
    <w:rsid w:val="00E27C6E"/>
    <w:rsid w:val="00E300AA"/>
    <w:rsid w:val="00E30206"/>
    <w:rsid w:val="00E305FB"/>
    <w:rsid w:val="00E30BB5"/>
    <w:rsid w:val="00E312AF"/>
    <w:rsid w:val="00E320A1"/>
    <w:rsid w:val="00E32A81"/>
    <w:rsid w:val="00E34146"/>
    <w:rsid w:val="00E34878"/>
    <w:rsid w:val="00E34967"/>
    <w:rsid w:val="00E34CFA"/>
    <w:rsid w:val="00E35110"/>
    <w:rsid w:val="00E35218"/>
    <w:rsid w:val="00E36554"/>
    <w:rsid w:val="00E36C28"/>
    <w:rsid w:val="00E36DEA"/>
    <w:rsid w:val="00E36EF5"/>
    <w:rsid w:val="00E3720B"/>
    <w:rsid w:val="00E3756A"/>
    <w:rsid w:val="00E376EC"/>
    <w:rsid w:val="00E3771B"/>
    <w:rsid w:val="00E379EF"/>
    <w:rsid w:val="00E37BE6"/>
    <w:rsid w:val="00E37C49"/>
    <w:rsid w:val="00E40132"/>
    <w:rsid w:val="00E40628"/>
    <w:rsid w:val="00E40750"/>
    <w:rsid w:val="00E4076C"/>
    <w:rsid w:val="00E4089A"/>
    <w:rsid w:val="00E408A6"/>
    <w:rsid w:val="00E40C6C"/>
    <w:rsid w:val="00E40C73"/>
    <w:rsid w:val="00E40E9D"/>
    <w:rsid w:val="00E4118D"/>
    <w:rsid w:val="00E420F8"/>
    <w:rsid w:val="00E42336"/>
    <w:rsid w:val="00E4242E"/>
    <w:rsid w:val="00E424EC"/>
    <w:rsid w:val="00E4260C"/>
    <w:rsid w:val="00E42831"/>
    <w:rsid w:val="00E42BB7"/>
    <w:rsid w:val="00E42BFB"/>
    <w:rsid w:val="00E42C63"/>
    <w:rsid w:val="00E42D04"/>
    <w:rsid w:val="00E42E42"/>
    <w:rsid w:val="00E43424"/>
    <w:rsid w:val="00E435D9"/>
    <w:rsid w:val="00E43860"/>
    <w:rsid w:val="00E44544"/>
    <w:rsid w:val="00E445D1"/>
    <w:rsid w:val="00E44A81"/>
    <w:rsid w:val="00E44DB4"/>
    <w:rsid w:val="00E45549"/>
    <w:rsid w:val="00E455AE"/>
    <w:rsid w:val="00E45C00"/>
    <w:rsid w:val="00E45CC6"/>
    <w:rsid w:val="00E462AA"/>
    <w:rsid w:val="00E47075"/>
    <w:rsid w:val="00E476AB"/>
    <w:rsid w:val="00E507A7"/>
    <w:rsid w:val="00E51169"/>
    <w:rsid w:val="00E51541"/>
    <w:rsid w:val="00E5181E"/>
    <w:rsid w:val="00E51973"/>
    <w:rsid w:val="00E51E13"/>
    <w:rsid w:val="00E522BE"/>
    <w:rsid w:val="00E526F8"/>
    <w:rsid w:val="00E52D36"/>
    <w:rsid w:val="00E532EE"/>
    <w:rsid w:val="00E5389F"/>
    <w:rsid w:val="00E53C4E"/>
    <w:rsid w:val="00E543A5"/>
    <w:rsid w:val="00E548E9"/>
    <w:rsid w:val="00E54D3E"/>
    <w:rsid w:val="00E54DEE"/>
    <w:rsid w:val="00E55BAB"/>
    <w:rsid w:val="00E55CE4"/>
    <w:rsid w:val="00E56050"/>
    <w:rsid w:val="00E5710C"/>
    <w:rsid w:val="00E5770C"/>
    <w:rsid w:val="00E5795F"/>
    <w:rsid w:val="00E57C9D"/>
    <w:rsid w:val="00E57E83"/>
    <w:rsid w:val="00E608F0"/>
    <w:rsid w:val="00E611BC"/>
    <w:rsid w:val="00E61240"/>
    <w:rsid w:val="00E61688"/>
    <w:rsid w:val="00E61C08"/>
    <w:rsid w:val="00E61E02"/>
    <w:rsid w:val="00E623FE"/>
    <w:rsid w:val="00E62528"/>
    <w:rsid w:val="00E627D0"/>
    <w:rsid w:val="00E63583"/>
    <w:rsid w:val="00E63586"/>
    <w:rsid w:val="00E637E6"/>
    <w:rsid w:val="00E64508"/>
    <w:rsid w:val="00E64ABA"/>
    <w:rsid w:val="00E64BA7"/>
    <w:rsid w:val="00E64E2F"/>
    <w:rsid w:val="00E65034"/>
    <w:rsid w:val="00E65639"/>
    <w:rsid w:val="00E657A2"/>
    <w:rsid w:val="00E657A3"/>
    <w:rsid w:val="00E658E3"/>
    <w:rsid w:val="00E65975"/>
    <w:rsid w:val="00E65D0F"/>
    <w:rsid w:val="00E65D26"/>
    <w:rsid w:val="00E66085"/>
    <w:rsid w:val="00E66B44"/>
    <w:rsid w:val="00E67032"/>
    <w:rsid w:val="00E671CC"/>
    <w:rsid w:val="00E67786"/>
    <w:rsid w:val="00E67905"/>
    <w:rsid w:val="00E702A2"/>
    <w:rsid w:val="00E70C46"/>
    <w:rsid w:val="00E70CF4"/>
    <w:rsid w:val="00E70D8B"/>
    <w:rsid w:val="00E70F51"/>
    <w:rsid w:val="00E715A1"/>
    <w:rsid w:val="00E716EA"/>
    <w:rsid w:val="00E7183A"/>
    <w:rsid w:val="00E71E60"/>
    <w:rsid w:val="00E72020"/>
    <w:rsid w:val="00E7229C"/>
    <w:rsid w:val="00E7237A"/>
    <w:rsid w:val="00E72D8D"/>
    <w:rsid w:val="00E73CD6"/>
    <w:rsid w:val="00E73DA6"/>
    <w:rsid w:val="00E73F6D"/>
    <w:rsid w:val="00E74D17"/>
    <w:rsid w:val="00E74F39"/>
    <w:rsid w:val="00E75410"/>
    <w:rsid w:val="00E754C0"/>
    <w:rsid w:val="00E75E01"/>
    <w:rsid w:val="00E76055"/>
    <w:rsid w:val="00E770CD"/>
    <w:rsid w:val="00E7763D"/>
    <w:rsid w:val="00E77AB9"/>
    <w:rsid w:val="00E77BC7"/>
    <w:rsid w:val="00E77BEA"/>
    <w:rsid w:val="00E8023C"/>
    <w:rsid w:val="00E802E0"/>
    <w:rsid w:val="00E80339"/>
    <w:rsid w:val="00E80DB3"/>
    <w:rsid w:val="00E81129"/>
    <w:rsid w:val="00E81687"/>
    <w:rsid w:val="00E82572"/>
    <w:rsid w:val="00E827F9"/>
    <w:rsid w:val="00E830FB"/>
    <w:rsid w:val="00E83158"/>
    <w:rsid w:val="00E833C1"/>
    <w:rsid w:val="00E838D0"/>
    <w:rsid w:val="00E83BC2"/>
    <w:rsid w:val="00E8455B"/>
    <w:rsid w:val="00E84BC9"/>
    <w:rsid w:val="00E85A4A"/>
    <w:rsid w:val="00E85A5D"/>
    <w:rsid w:val="00E85A7A"/>
    <w:rsid w:val="00E85CDD"/>
    <w:rsid w:val="00E85F97"/>
    <w:rsid w:val="00E866B1"/>
    <w:rsid w:val="00E86715"/>
    <w:rsid w:val="00E86EE0"/>
    <w:rsid w:val="00E87425"/>
    <w:rsid w:val="00E87816"/>
    <w:rsid w:val="00E87B64"/>
    <w:rsid w:val="00E908EE"/>
    <w:rsid w:val="00E90C1E"/>
    <w:rsid w:val="00E90F67"/>
    <w:rsid w:val="00E9160F"/>
    <w:rsid w:val="00E91A67"/>
    <w:rsid w:val="00E92ED7"/>
    <w:rsid w:val="00E93596"/>
    <w:rsid w:val="00E9387F"/>
    <w:rsid w:val="00E938CD"/>
    <w:rsid w:val="00E938EF"/>
    <w:rsid w:val="00E93B6B"/>
    <w:rsid w:val="00E94833"/>
    <w:rsid w:val="00E948E4"/>
    <w:rsid w:val="00E94C6F"/>
    <w:rsid w:val="00E94F04"/>
    <w:rsid w:val="00E94FE4"/>
    <w:rsid w:val="00E95B6E"/>
    <w:rsid w:val="00E95C50"/>
    <w:rsid w:val="00E9601F"/>
    <w:rsid w:val="00E9628D"/>
    <w:rsid w:val="00E965A4"/>
    <w:rsid w:val="00E966CA"/>
    <w:rsid w:val="00E97203"/>
    <w:rsid w:val="00E97283"/>
    <w:rsid w:val="00E97382"/>
    <w:rsid w:val="00E979A5"/>
    <w:rsid w:val="00EA051C"/>
    <w:rsid w:val="00EA1EAF"/>
    <w:rsid w:val="00EA26BF"/>
    <w:rsid w:val="00EA26E4"/>
    <w:rsid w:val="00EA3899"/>
    <w:rsid w:val="00EA399A"/>
    <w:rsid w:val="00EA3E7D"/>
    <w:rsid w:val="00EA3F21"/>
    <w:rsid w:val="00EA4324"/>
    <w:rsid w:val="00EA44D9"/>
    <w:rsid w:val="00EA48FD"/>
    <w:rsid w:val="00EA4CE3"/>
    <w:rsid w:val="00EA4F32"/>
    <w:rsid w:val="00EA568D"/>
    <w:rsid w:val="00EA5DC1"/>
    <w:rsid w:val="00EA5F26"/>
    <w:rsid w:val="00EA6CE1"/>
    <w:rsid w:val="00EA6E96"/>
    <w:rsid w:val="00EA6FD4"/>
    <w:rsid w:val="00EA7409"/>
    <w:rsid w:val="00EA74A5"/>
    <w:rsid w:val="00EA74CD"/>
    <w:rsid w:val="00EA7A36"/>
    <w:rsid w:val="00EA7A3E"/>
    <w:rsid w:val="00EB03C7"/>
    <w:rsid w:val="00EB0498"/>
    <w:rsid w:val="00EB109D"/>
    <w:rsid w:val="00EB18EA"/>
    <w:rsid w:val="00EB1D91"/>
    <w:rsid w:val="00EB2CED"/>
    <w:rsid w:val="00EB31BD"/>
    <w:rsid w:val="00EB3299"/>
    <w:rsid w:val="00EB334E"/>
    <w:rsid w:val="00EB3374"/>
    <w:rsid w:val="00EB3838"/>
    <w:rsid w:val="00EB3DCF"/>
    <w:rsid w:val="00EB46E6"/>
    <w:rsid w:val="00EB4862"/>
    <w:rsid w:val="00EB5316"/>
    <w:rsid w:val="00EB5577"/>
    <w:rsid w:val="00EB583D"/>
    <w:rsid w:val="00EB684E"/>
    <w:rsid w:val="00EB69C5"/>
    <w:rsid w:val="00EB779B"/>
    <w:rsid w:val="00EB7D4D"/>
    <w:rsid w:val="00EC033D"/>
    <w:rsid w:val="00EC0380"/>
    <w:rsid w:val="00EC0652"/>
    <w:rsid w:val="00EC06F8"/>
    <w:rsid w:val="00EC090A"/>
    <w:rsid w:val="00EC09ED"/>
    <w:rsid w:val="00EC10E9"/>
    <w:rsid w:val="00EC139F"/>
    <w:rsid w:val="00EC1D98"/>
    <w:rsid w:val="00EC1F34"/>
    <w:rsid w:val="00EC2A1F"/>
    <w:rsid w:val="00EC2B1B"/>
    <w:rsid w:val="00EC3198"/>
    <w:rsid w:val="00EC327D"/>
    <w:rsid w:val="00EC36EF"/>
    <w:rsid w:val="00EC3A82"/>
    <w:rsid w:val="00EC3B71"/>
    <w:rsid w:val="00EC4113"/>
    <w:rsid w:val="00EC499C"/>
    <w:rsid w:val="00EC4B60"/>
    <w:rsid w:val="00EC500B"/>
    <w:rsid w:val="00EC500E"/>
    <w:rsid w:val="00EC5044"/>
    <w:rsid w:val="00EC5060"/>
    <w:rsid w:val="00EC5375"/>
    <w:rsid w:val="00EC562D"/>
    <w:rsid w:val="00EC5DCC"/>
    <w:rsid w:val="00EC66F9"/>
    <w:rsid w:val="00EC6C23"/>
    <w:rsid w:val="00EC6D41"/>
    <w:rsid w:val="00EC6E8A"/>
    <w:rsid w:val="00EC771C"/>
    <w:rsid w:val="00EC7DD5"/>
    <w:rsid w:val="00ED02F8"/>
    <w:rsid w:val="00ED033F"/>
    <w:rsid w:val="00ED04D2"/>
    <w:rsid w:val="00ED068E"/>
    <w:rsid w:val="00ED08B2"/>
    <w:rsid w:val="00ED0AC5"/>
    <w:rsid w:val="00ED13EB"/>
    <w:rsid w:val="00ED144C"/>
    <w:rsid w:val="00ED1F6B"/>
    <w:rsid w:val="00ED20DE"/>
    <w:rsid w:val="00ED2933"/>
    <w:rsid w:val="00ED33D1"/>
    <w:rsid w:val="00ED33DF"/>
    <w:rsid w:val="00ED355E"/>
    <w:rsid w:val="00ED3902"/>
    <w:rsid w:val="00ED3926"/>
    <w:rsid w:val="00ED3DEE"/>
    <w:rsid w:val="00ED4482"/>
    <w:rsid w:val="00ED4C87"/>
    <w:rsid w:val="00ED4DB3"/>
    <w:rsid w:val="00ED5040"/>
    <w:rsid w:val="00ED518A"/>
    <w:rsid w:val="00ED5D41"/>
    <w:rsid w:val="00ED5F5C"/>
    <w:rsid w:val="00ED6DF1"/>
    <w:rsid w:val="00ED6FD5"/>
    <w:rsid w:val="00ED7255"/>
    <w:rsid w:val="00ED7492"/>
    <w:rsid w:val="00ED74AA"/>
    <w:rsid w:val="00ED7C89"/>
    <w:rsid w:val="00EE01C0"/>
    <w:rsid w:val="00EE07FE"/>
    <w:rsid w:val="00EE0B0B"/>
    <w:rsid w:val="00EE158A"/>
    <w:rsid w:val="00EE1F00"/>
    <w:rsid w:val="00EE23E2"/>
    <w:rsid w:val="00EE25FA"/>
    <w:rsid w:val="00EE30A7"/>
    <w:rsid w:val="00EE394B"/>
    <w:rsid w:val="00EE396F"/>
    <w:rsid w:val="00EE409F"/>
    <w:rsid w:val="00EE42B6"/>
    <w:rsid w:val="00EE48E8"/>
    <w:rsid w:val="00EE4A3F"/>
    <w:rsid w:val="00EE4B65"/>
    <w:rsid w:val="00EE4DE3"/>
    <w:rsid w:val="00EE52A9"/>
    <w:rsid w:val="00EE53D2"/>
    <w:rsid w:val="00EE585E"/>
    <w:rsid w:val="00EE5AC6"/>
    <w:rsid w:val="00EE5BA9"/>
    <w:rsid w:val="00EE5F30"/>
    <w:rsid w:val="00EE5F6D"/>
    <w:rsid w:val="00EE6531"/>
    <w:rsid w:val="00EE68C0"/>
    <w:rsid w:val="00EE7454"/>
    <w:rsid w:val="00EE7607"/>
    <w:rsid w:val="00EE7933"/>
    <w:rsid w:val="00EE7D2D"/>
    <w:rsid w:val="00EE7E72"/>
    <w:rsid w:val="00EE7E7A"/>
    <w:rsid w:val="00EF043C"/>
    <w:rsid w:val="00EF0482"/>
    <w:rsid w:val="00EF0703"/>
    <w:rsid w:val="00EF07E9"/>
    <w:rsid w:val="00EF0D94"/>
    <w:rsid w:val="00EF14B9"/>
    <w:rsid w:val="00EF1623"/>
    <w:rsid w:val="00EF1ECD"/>
    <w:rsid w:val="00EF1F68"/>
    <w:rsid w:val="00EF26BB"/>
    <w:rsid w:val="00EF28BB"/>
    <w:rsid w:val="00EF3699"/>
    <w:rsid w:val="00EF3803"/>
    <w:rsid w:val="00EF3960"/>
    <w:rsid w:val="00EF3971"/>
    <w:rsid w:val="00EF3BA3"/>
    <w:rsid w:val="00EF4076"/>
    <w:rsid w:val="00EF44A1"/>
    <w:rsid w:val="00EF4599"/>
    <w:rsid w:val="00EF488F"/>
    <w:rsid w:val="00EF4AA9"/>
    <w:rsid w:val="00EF541C"/>
    <w:rsid w:val="00EF5C78"/>
    <w:rsid w:val="00EF5EE2"/>
    <w:rsid w:val="00EF5FE3"/>
    <w:rsid w:val="00EF6117"/>
    <w:rsid w:val="00EF6179"/>
    <w:rsid w:val="00EF66A0"/>
    <w:rsid w:val="00EF6B60"/>
    <w:rsid w:val="00EF6C2A"/>
    <w:rsid w:val="00EF6ED4"/>
    <w:rsid w:val="00EF729F"/>
    <w:rsid w:val="00EF7533"/>
    <w:rsid w:val="00EF7AF1"/>
    <w:rsid w:val="00EF7E50"/>
    <w:rsid w:val="00EF7EDB"/>
    <w:rsid w:val="00F00221"/>
    <w:rsid w:val="00F00A8B"/>
    <w:rsid w:val="00F01833"/>
    <w:rsid w:val="00F02037"/>
    <w:rsid w:val="00F025A5"/>
    <w:rsid w:val="00F02752"/>
    <w:rsid w:val="00F02A17"/>
    <w:rsid w:val="00F030B3"/>
    <w:rsid w:val="00F03264"/>
    <w:rsid w:val="00F042F0"/>
    <w:rsid w:val="00F0452B"/>
    <w:rsid w:val="00F0473F"/>
    <w:rsid w:val="00F0488D"/>
    <w:rsid w:val="00F049FC"/>
    <w:rsid w:val="00F05078"/>
    <w:rsid w:val="00F05114"/>
    <w:rsid w:val="00F0534E"/>
    <w:rsid w:val="00F05A4A"/>
    <w:rsid w:val="00F05C84"/>
    <w:rsid w:val="00F05E4D"/>
    <w:rsid w:val="00F063A4"/>
    <w:rsid w:val="00F0649D"/>
    <w:rsid w:val="00F06D3F"/>
    <w:rsid w:val="00F0763A"/>
    <w:rsid w:val="00F102DF"/>
    <w:rsid w:val="00F108D3"/>
    <w:rsid w:val="00F1095D"/>
    <w:rsid w:val="00F10EAC"/>
    <w:rsid w:val="00F11884"/>
    <w:rsid w:val="00F11964"/>
    <w:rsid w:val="00F11AD1"/>
    <w:rsid w:val="00F1236B"/>
    <w:rsid w:val="00F123CB"/>
    <w:rsid w:val="00F123DD"/>
    <w:rsid w:val="00F12B79"/>
    <w:rsid w:val="00F12BCA"/>
    <w:rsid w:val="00F12CD9"/>
    <w:rsid w:val="00F12DAD"/>
    <w:rsid w:val="00F12E8C"/>
    <w:rsid w:val="00F1432B"/>
    <w:rsid w:val="00F1452A"/>
    <w:rsid w:val="00F14A4E"/>
    <w:rsid w:val="00F14CA0"/>
    <w:rsid w:val="00F151BE"/>
    <w:rsid w:val="00F1566D"/>
    <w:rsid w:val="00F15D37"/>
    <w:rsid w:val="00F15D73"/>
    <w:rsid w:val="00F15DAC"/>
    <w:rsid w:val="00F16C0D"/>
    <w:rsid w:val="00F1753C"/>
    <w:rsid w:val="00F17658"/>
    <w:rsid w:val="00F177C9"/>
    <w:rsid w:val="00F208C0"/>
    <w:rsid w:val="00F20CAD"/>
    <w:rsid w:val="00F2118B"/>
    <w:rsid w:val="00F2190D"/>
    <w:rsid w:val="00F21D0B"/>
    <w:rsid w:val="00F22683"/>
    <w:rsid w:val="00F228CA"/>
    <w:rsid w:val="00F23208"/>
    <w:rsid w:val="00F234A1"/>
    <w:rsid w:val="00F2377A"/>
    <w:rsid w:val="00F23860"/>
    <w:rsid w:val="00F23CC7"/>
    <w:rsid w:val="00F23D9B"/>
    <w:rsid w:val="00F241E6"/>
    <w:rsid w:val="00F246DD"/>
    <w:rsid w:val="00F2486A"/>
    <w:rsid w:val="00F24A13"/>
    <w:rsid w:val="00F24ADA"/>
    <w:rsid w:val="00F24F14"/>
    <w:rsid w:val="00F25AEE"/>
    <w:rsid w:val="00F25C94"/>
    <w:rsid w:val="00F2638F"/>
    <w:rsid w:val="00F265DC"/>
    <w:rsid w:val="00F269BD"/>
    <w:rsid w:val="00F2701F"/>
    <w:rsid w:val="00F2766E"/>
    <w:rsid w:val="00F27A42"/>
    <w:rsid w:val="00F27E9C"/>
    <w:rsid w:val="00F300D4"/>
    <w:rsid w:val="00F303E4"/>
    <w:rsid w:val="00F304D1"/>
    <w:rsid w:val="00F31740"/>
    <w:rsid w:val="00F3197B"/>
    <w:rsid w:val="00F31DAA"/>
    <w:rsid w:val="00F320B1"/>
    <w:rsid w:val="00F32271"/>
    <w:rsid w:val="00F32375"/>
    <w:rsid w:val="00F32504"/>
    <w:rsid w:val="00F32B23"/>
    <w:rsid w:val="00F3348B"/>
    <w:rsid w:val="00F3349A"/>
    <w:rsid w:val="00F338BB"/>
    <w:rsid w:val="00F338FC"/>
    <w:rsid w:val="00F34039"/>
    <w:rsid w:val="00F34717"/>
    <w:rsid w:val="00F351F7"/>
    <w:rsid w:val="00F3527A"/>
    <w:rsid w:val="00F35A74"/>
    <w:rsid w:val="00F35BCB"/>
    <w:rsid w:val="00F36019"/>
    <w:rsid w:val="00F36510"/>
    <w:rsid w:val="00F366A2"/>
    <w:rsid w:val="00F36739"/>
    <w:rsid w:val="00F36E6B"/>
    <w:rsid w:val="00F36FF1"/>
    <w:rsid w:val="00F37825"/>
    <w:rsid w:val="00F37BE4"/>
    <w:rsid w:val="00F407CD"/>
    <w:rsid w:val="00F40D8D"/>
    <w:rsid w:val="00F40EB7"/>
    <w:rsid w:val="00F415AD"/>
    <w:rsid w:val="00F4194F"/>
    <w:rsid w:val="00F41BB5"/>
    <w:rsid w:val="00F41EE2"/>
    <w:rsid w:val="00F42310"/>
    <w:rsid w:val="00F435D3"/>
    <w:rsid w:val="00F43972"/>
    <w:rsid w:val="00F43AD7"/>
    <w:rsid w:val="00F44143"/>
    <w:rsid w:val="00F452F1"/>
    <w:rsid w:val="00F45425"/>
    <w:rsid w:val="00F45569"/>
    <w:rsid w:val="00F457A8"/>
    <w:rsid w:val="00F46682"/>
    <w:rsid w:val="00F46BFC"/>
    <w:rsid w:val="00F46DA9"/>
    <w:rsid w:val="00F47741"/>
    <w:rsid w:val="00F47B40"/>
    <w:rsid w:val="00F47F7B"/>
    <w:rsid w:val="00F5010B"/>
    <w:rsid w:val="00F50254"/>
    <w:rsid w:val="00F503DF"/>
    <w:rsid w:val="00F5099A"/>
    <w:rsid w:val="00F50D31"/>
    <w:rsid w:val="00F50DBE"/>
    <w:rsid w:val="00F51246"/>
    <w:rsid w:val="00F51296"/>
    <w:rsid w:val="00F51CD1"/>
    <w:rsid w:val="00F52622"/>
    <w:rsid w:val="00F5287A"/>
    <w:rsid w:val="00F5315B"/>
    <w:rsid w:val="00F5326F"/>
    <w:rsid w:val="00F53330"/>
    <w:rsid w:val="00F539E5"/>
    <w:rsid w:val="00F53A5C"/>
    <w:rsid w:val="00F53AEB"/>
    <w:rsid w:val="00F53F57"/>
    <w:rsid w:val="00F54C9A"/>
    <w:rsid w:val="00F55958"/>
    <w:rsid w:val="00F55B41"/>
    <w:rsid w:val="00F55EB7"/>
    <w:rsid w:val="00F56330"/>
    <w:rsid w:val="00F56BE1"/>
    <w:rsid w:val="00F56EA0"/>
    <w:rsid w:val="00F56F7D"/>
    <w:rsid w:val="00F5751D"/>
    <w:rsid w:val="00F5794E"/>
    <w:rsid w:val="00F602A8"/>
    <w:rsid w:val="00F61149"/>
    <w:rsid w:val="00F613AB"/>
    <w:rsid w:val="00F61CE6"/>
    <w:rsid w:val="00F62675"/>
    <w:rsid w:val="00F63406"/>
    <w:rsid w:val="00F6341F"/>
    <w:rsid w:val="00F635AC"/>
    <w:rsid w:val="00F63651"/>
    <w:rsid w:val="00F63660"/>
    <w:rsid w:val="00F63A4D"/>
    <w:rsid w:val="00F63F10"/>
    <w:rsid w:val="00F64054"/>
    <w:rsid w:val="00F6446A"/>
    <w:rsid w:val="00F645A9"/>
    <w:rsid w:val="00F6462D"/>
    <w:rsid w:val="00F649DF"/>
    <w:rsid w:val="00F65ACD"/>
    <w:rsid w:val="00F65E0E"/>
    <w:rsid w:val="00F6635E"/>
    <w:rsid w:val="00F66380"/>
    <w:rsid w:val="00F71014"/>
    <w:rsid w:val="00F7189F"/>
    <w:rsid w:val="00F71A06"/>
    <w:rsid w:val="00F7265D"/>
    <w:rsid w:val="00F728AE"/>
    <w:rsid w:val="00F72F8F"/>
    <w:rsid w:val="00F73004"/>
    <w:rsid w:val="00F73BA2"/>
    <w:rsid w:val="00F7408D"/>
    <w:rsid w:val="00F74E21"/>
    <w:rsid w:val="00F750B4"/>
    <w:rsid w:val="00F75573"/>
    <w:rsid w:val="00F75E3B"/>
    <w:rsid w:val="00F7693C"/>
    <w:rsid w:val="00F76A5D"/>
    <w:rsid w:val="00F76BD3"/>
    <w:rsid w:val="00F76E04"/>
    <w:rsid w:val="00F76FA6"/>
    <w:rsid w:val="00F770CC"/>
    <w:rsid w:val="00F77CB7"/>
    <w:rsid w:val="00F8004D"/>
    <w:rsid w:val="00F80776"/>
    <w:rsid w:val="00F80989"/>
    <w:rsid w:val="00F80E8E"/>
    <w:rsid w:val="00F80FCB"/>
    <w:rsid w:val="00F81432"/>
    <w:rsid w:val="00F8152A"/>
    <w:rsid w:val="00F81723"/>
    <w:rsid w:val="00F818F4"/>
    <w:rsid w:val="00F818FD"/>
    <w:rsid w:val="00F81DA4"/>
    <w:rsid w:val="00F81F7D"/>
    <w:rsid w:val="00F82193"/>
    <w:rsid w:val="00F82945"/>
    <w:rsid w:val="00F8362A"/>
    <w:rsid w:val="00F836A3"/>
    <w:rsid w:val="00F83776"/>
    <w:rsid w:val="00F83832"/>
    <w:rsid w:val="00F83A3A"/>
    <w:rsid w:val="00F843DA"/>
    <w:rsid w:val="00F8447C"/>
    <w:rsid w:val="00F845DC"/>
    <w:rsid w:val="00F84A7C"/>
    <w:rsid w:val="00F852F4"/>
    <w:rsid w:val="00F854B8"/>
    <w:rsid w:val="00F85592"/>
    <w:rsid w:val="00F8576D"/>
    <w:rsid w:val="00F859D7"/>
    <w:rsid w:val="00F85C5B"/>
    <w:rsid w:val="00F85D55"/>
    <w:rsid w:val="00F8644E"/>
    <w:rsid w:val="00F8689D"/>
    <w:rsid w:val="00F86AE4"/>
    <w:rsid w:val="00F86EE0"/>
    <w:rsid w:val="00F8731A"/>
    <w:rsid w:val="00F90848"/>
    <w:rsid w:val="00F90999"/>
    <w:rsid w:val="00F91727"/>
    <w:rsid w:val="00F91DC4"/>
    <w:rsid w:val="00F9231A"/>
    <w:rsid w:val="00F92424"/>
    <w:rsid w:val="00F9256A"/>
    <w:rsid w:val="00F92681"/>
    <w:rsid w:val="00F92723"/>
    <w:rsid w:val="00F9273F"/>
    <w:rsid w:val="00F92D34"/>
    <w:rsid w:val="00F937E3"/>
    <w:rsid w:val="00F9385E"/>
    <w:rsid w:val="00F943DE"/>
    <w:rsid w:val="00F94A77"/>
    <w:rsid w:val="00F94B55"/>
    <w:rsid w:val="00F94DE1"/>
    <w:rsid w:val="00F958C1"/>
    <w:rsid w:val="00F95914"/>
    <w:rsid w:val="00F9606B"/>
    <w:rsid w:val="00F96A65"/>
    <w:rsid w:val="00F96D86"/>
    <w:rsid w:val="00F96E23"/>
    <w:rsid w:val="00F96EC2"/>
    <w:rsid w:val="00F96ECF"/>
    <w:rsid w:val="00F97B5D"/>
    <w:rsid w:val="00F97D7D"/>
    <w:rsid w:val="00F97EB1"/>
    <w:rsid w:val="00FA03FD"/>
    <w:rsid w:val="00FA0493"/>
    <w:rsid w:val="00FA18DF"/>
    <w:rsid w:val="00FA1AD5"/>
    <w:rsid w:val="00FA1D5E"/>
    <w:rsid w:val="00FA1E83"/>
    <w:rsid w:val="00FA2854"/>
    <w:rsid w:val="00FA2EF0"/>
    <w:rsid w:val="00FA390A"/>
    <w:rsid w:val="00FA3B45"/>
    <w:rsid w:val="00FA4369"/>
    <w:rsid w:val="00FA476B"/>
    <w:rsid w:val="00FA5043"/>
    <w:rsid w:val="00FA50D2"/>
    <w:rsid w:val="00FA5342"/>
    <w:rsid w:val="00FA563C"/>
    <w:rsid w:val="00FA5651"/>
    <w:rsid w:val="00FA58C6"/>
    <w:rsid w:val="00FA5FF8"/>
    <w:rsid w:val="00FA6068"/>
    <w:rsid w:val="00FA6281"/>
    <w:rsid w:val="00FA6293"/>
    <w:rsid w:val="00FA6860"/>
    <w:rsid w:val="00FA723F"/>
    <w:rsid w:val="00FA7349"/>
    <w:rsid w:val="00FA7A05"/>
    <w:rsid w:val="00FA7E17"/>
    <w:rsid w:val="00FA7F61"/>
    <w:rsid w:val="00FB02D0"/>
    <w:rsid w:val="00FB080A"/>
    <w:rsid w:val="00FB0DE8"/>
    <w:rsid w:val="00FB1632"/>
    <w:rsid w:val="00FB1B63"/>
    <w:rsid w:val="00FB2047"/>
    <w:rsid w:val="00FB2727"/>
    <w:rsid w:val="00FB295E"/>
    <w:rsid w:val="00FB2AE3"/>
    <w:rsid w:val="00FB2E2A"/>
    <w:rsid w:val="00FB3295"/>
    <w:rsid w:val="00FB3486"/>
    <w:rsid w:val="00FB3C4B"/>
    <w:rsid w:val="00FB4590"/>
    <w:rsid w:val="00FB4993"/>
    <w:rsid w:val="00FB499A"/>
    <w:rsid w:val="00FB5266"/>
    <w:rsid w:val="00FB5639"/>
    <w:rsid w:val="00FB6231"/>
    <w:rsid w:val="00FB65BA"/>
    <w:rsid w:val="00FB66AB"/>
    <w:rsid w:val="00FB68E4"/>
    <w:rsid w:val="00FB6AF8"/>
    <w:rsid w:val="00FB74CD"/>
    <w:rsid w:val="00FB75F4"/>
    <w:rsid w:val="00FC07DA"/>
    <w:rsid w:val="00FC0A1E"/>
    <w:rsid w:val="00FC1857"/>
    <w:rsid w:val="00FC18D5"/>
    <w:rsid w:val="00FC1A74"/>
    <w:rsid w:val="00FC1B50"/>
    <w:rsid w:val="00FC28EF"/>
    <w:rsid w:val="00FC298C"/>
    <w:rsid w:val="00FC2A11"/>
    <w:rsid w:val="00FC2AC3"/>
    <w:rsid w:val="00FC2B05"/>
    <w:rsid w:val="00FC2DCD"/>
    <w:rsid w:val="00FC2E9D"/>
    <w:rsid w:val="00FC2F3C"/>
    <w:rsid w:val="00FC3767"/>
    <w:rsid w:val="00FC39AF"/>
    <w:rsid w:val="00FC3C5D"/>
    <w:rsid w:val="00FC42E2"/>
    <w:rsid w:val="00FC4970"/>
    <w:rsid w:val="00FC4DBE"/>
    <w:rsid w:val="00FC5893"/>
    <w:rsid w:val="00FC64D0"/>
    <w:rsid w:val="00FC65DC"/>
    <w:rsid w:val="00FC69B0"/>
    <w:rsid w:val="00FC6E3F"/>
    <w:rsid w:val="00FC6E79"/>
    <w:rsid w:val="00FC73D8"/>
    <w:rsid w:val="00FC7BBD"/>
    <w:rsid w:val="00FC7C65"/>
    <w:rsid w:val="00FD02C0"/>
    <w:rsid w:val="00FD084D"/>
    <w:rsid w:val="00FD1160"/>
    <w:rsid w:val="00FD1865"/>
    <w:rsid w:val="00FD1CB6"/>
    <w:rsid w:val="00FD1CBF"/>
    <w:rsid w:val="00FD1E0B"/>
    <w:rsid w:val="00FD20FB"/>
    <w:rsid w:val="00FD2DB8"/>
    <w:rsid w:val="00FD2E95"/>
    <w:rsid w:val="00FD3068"/>
    <w:rsid w:val="00FD3B4C"/>
    <w:rsid w:val="00FD3B8D"/>
    <w:rsid w:val="00FD402B"/>
    <w:rsid w:val="00FD42D7"/>
    <w:rsid w:val="00FD455A"/>
    <w:rsid w:val="00FD4A64"/>
    <w:rsid w:val="00FD4A6F"/>
    <w:rsid w:val="00FD4ABB"/>
    <w:rsid w:val="00FD4B88"/>
    <w:rsid w:val="00FD4DBF"/>
    <w:rsid w:val="00FD5660"/>
    <w:rsid w:val="00FD61E4"/>
    <w:rsid w:val="00FD645E"/>
    <w:rsid w:val="00FD6689"/>
    <w:rsid w:val="00FD6764"/>
    <w:rsid w:val="00FD6A41"/>
    <w:rsid w:val="00FD6B29"/>
    <w:rsid w:val="00FD6B3F"/>
    <w:rsid w:val="00FD73D3"/>
    <w:rsid w:val="00FD7630"/>
    <w:rsid w:val="00FD7B22"/>
    <w:rsid w:val="00FD7CC0"/>
    <w:rsid w:val="00FD7F5D"/>
    <w:rsid w:val="00FE008D"/>
    <w:rsid w:val="00FE00A4"/>
    <w:rsid w:val="00FE053C"/>
    <w:rsid w:val="00FE0A99"/>
    <w:rsid w:val="00FE0DD3"/>
    <w:rsid w:val="00FE1084"/>
    <w:rsid w:val="00FE10D9"/>
    <w:rsid w:val="00FE117A"/>
    <w:rsid w:val="00FE1254"/>
    <w:rsid w:val="00FE16BB"/>
    <w:rsid w:val="00FE199C"/>
    <w:rsid w:val="00FE1BAD"/>
    <w:rsid w:val="00FE2286"/>
    <w:rsid w:val="00FE2E19"/>
    <w:rsid w:val="00FE39A3"/>
    <w:rsid w:val="00FE443E"/>
    <w:rsid w:val="00FE4657"/>
    <w:rsid w:val="00FE5504"/>
    <w:rsid w:val="00FE5594"/>
    <w:rsid w:val="00FE58E2"/>
    <w:rsid w:val="00FE5AA4"/>
    <w:rsid w:val="00FE5AC3"/>
    <w:rsid w:val="00FE5B86"/>
    <w:rsid w:val="00FE614A"/>
    <w:rsid w:val="00FE6AD4"/>
    <w:rsid w:val="00FE75B7"/>
    <w:rsid w:val="00FE7BC0"/>
    <w:rsid w:val="00FF0107"/>
    <w:rsid w:val="00FF02B5"/>
    <w:rsid w:val="00FF06BF"/>
    <w:rsid w:val="00FF0764"/>
    <w:rsid w:val="00FF07BB"/>
    <w:rsid w:val="00FF08B5"/>
    <w:rsid w:val="00FF094D"/>
    <w:rsid w:val="00FF097A"/>
    <w:rsid w:val="00FF0E0F"/>
    <w:rsid w:val="00FF107D"/>
    <w:rsid w:val="00FF16A9"/>
    <w:rsid w:val="00FF193B"/>
    <w:rsid w:val="00FF2028"/>
    <w:rsid w:val="00FF2651"/>
    <w:rsid w:val="00FF2804"/>
    <w:rsid w:val="00FF2B1A"/>
    <w:rsid w:val="00FF2F78"/>
    <w:rsid w:val="00FF3312"/>
    <w:rsid w:val="00FF36E8"/>
    <w:rsid w:val="00FF3B14"/>
    <w:rsid w:val="00FF3C14"/>
    <w:rsid w:val="00FF3ECE"/>
    <w:rsid w:val="00FF400F"/>
    <w:rsid w:val="00FF410D"/>
    <w:rsid w:val="00FF440B"/>
    <w:rsid w:val="00FF4CAC"/>
    <w:rsid w:val="00FF50C3"/>
    <w:rsid w:val="00FF5554"/>
    <w:rsid w:val="00FF5D66"/>
    <w:rsid w:val="00FF5E59"/>
    <w:rsid w:val="00FF652F"/>
    <w:rsid w:val="00FF6CCA"/>
    <w:rsid w:val="00FF715F"/>
    <w:rsid w:val="00FF7247"/>
    <w:rsid w:val="00FF7530"/>
    <w:rsid w:val="00FF7C6F"/>
    <w:rsid w:val="00FF7FF6"/>
    <w:rsid w:val="01211C17"/>
    <w:rsid w:val="01420C57"/>
    <w:rsid w:val="015A7A26"/>
    <w:rsid w:val="01777DA6"/>
    <w:rsid w:val="01D40359"/>
    <w:rsid w:val="01D94F4C"/>
    <w:rsid w:val="01EF3E30"/>
    <w:rsid w:val="025D75D3"/>
    <w:rsid w:val="029408B1"/>
    <w:rsid w:val="02B20AA8"/>
    <w:rsid w:val="02D0097D"/>
    <w:rsid w:val="02D86DA3"/>
    <w:rsid w:val="03233628"/>
    <w:rsid w:val="032D5E14"/>
    <w:rsid w:val="039B33FF"/>
    <w:rsid w:val="03E342D4"/>
    <w:rsid w:val="03F95792"/>
    <w:rsid w:val="03FE6CC2"/>
    <w:rsid w:val="042F3F7B"/>
    <w:rsid w:val="046C4D2B"/>
    <w:rsid w:val="04790F0E"/>
    <w:rsid w:val="047E1411"/>
    <w:rsid w:val="0482699F"/>
    <w:rsid w:val="04847BAD"/>
    <w:rsid w:val="04F94566"/>
    <w:rsid w:val="051B77A7"/>
    <w:rsid w:val="05460C84"/>
    <w:rsid w:val="054742F2"/>
    <w:rsid w:val="056D2927"/>
    <w:rsid w:val="057520A4"/>
    <w:rsid w:val="057C1259"/>
    <w:rsid w:val="05C95ABB"/>
    <w:rsid w:val="061C7B75"/>
    <w:rsid w:val="065409D8"/>
    <w:rsid w:val="06754586"/>
    <w:rsid w:val="068D3609"/>
    <w:rsid w:val="06967FA3"/>
    <w:rsid w:val="06A37339"/>
    <w:rsid w:val="06B340D6"/>
    <w:rsid w:val="06CF4437"/>
    <w:rsid w:val="06F02138"/>
    <w:rsid w:val="06FD55ED"/>
    <w:rsid w:val="06FE2813"/>
    <w:rsid w:val="06FE5E0A"/>
    <w:rsid w:val="070068B1"/>
    <w:rsid w:val="071651D6"/>
    <w:rsid w:val="074A1EEF"/>
    <w:rsid w:val="07535F28"/>
    <w:rsid w:val="075D3A79"/>
    <w:rsid w:val="07630669"/>
    <w:rsid w:val="07660FC4"/>
    <w:rsid w:val="07690E8B"/>
    <w:rsid w:val="07E8679A"/>
    <w:rsid w:val="07F13794"/>
    <w:rsid w:val="07F323F5"/>
    <w:rsid w:val="083404E2"/>
    <w:rsid w:val="08631D02"/>
    <w:rsid w:val="08A26480"/>
    <w:rsid w:val="08B739C3"/>
    <w:rsid w:val="08CA3200"/>
    <w:rsid w:val="08E47218"/>
    <w:rsid w:val="08FB19C0"/>
    <w:rsid w:val="08FF22C7"/>
    <w:rsid w:val="0910654A"/>
    <w:rsid w:val="09180631"/>
    <w:rsid w:val="092463D7"/>
    <w:rsid w:val="09F550EB"/>
    <w:rsid w:val="0A300FB2"/>
    <w:rsid w:val="0A364705"/>
    <w:rsid w:val="0A460322"/>
    <w:rsid w:val="0AA62D94"/>
    <w:rsid w:val="0B096352"/>
    <w:rsid w:val="0B3A5A0C"/>
    <w:rsid w:val="0B526421"/>
    <w:rsid w:val="0B5E31E5"/>
    <w:rsid w:val="0BC16473"/>
    <w:rsid w:val="0BD00251"/>
    <w:rsid w:val="0C542033"/>
    <w:rsid w:val="0C6E324B"/>
    <w:rsid w:val="0CE81530"/>
    <w:rsid w:val="0CF35981"/>
    <w:rsid w:val="0D217B07"/>
    <w:rsid w:val="0D7B5307"/>
    <w:rsid w:val="0D882A6C"/>
    <w:rsid w:val="0D8E21E4"/>
    <w:rsid w:val="0D9F1FED"/>
    <w:rsid w:val="0DA75588"/>
    <w:rsid w:val="0DBA5FAF"/>
    <w:rsid w:val="0DC80042"/>
    <w:rsid w:val="0DE749C5"/>
    <w:rsid w:val="0DF56913"/>
    <w:rsid w:val="0E1462B0"/>
    <w:rsid w:val="0ED3223E"/>
    <w:rsid w:val="0EDD2B56"/>
    <w:rsid w:val="0EE932A3"/>
    <w:rsid w:val="0EF113C2"/>
    <w:rsid w:val="0F0C5EE0"/>
    <w:rsid w:val="0F4A14CF"/>
    <w:rsid w:val="0FA6191B"/>
    <w:rsid w:val="0FA94204"/>
    <w:rsid w:val="101C475D"/>
    <w:rsid w:val="10376E07"/>
    <w:rsid w:val="104F6F8C"/>
    <w:rsid w:val="1058016B"/>
    <w:rsid w:val="106C3A25"/>
    <w:rsid w:val="10893C29"/>
    <w:rsid w:val="10AB4141"/>
    <w:rsid w:val="10B233A6"/>
    <w:rsid w:val="10D60AB2"/>
    <w:rsid w:val="10D62E13"/>
    <w:rsid w:val="10F56E09"/>
    <w:rsid w:val="11055A25"/>
    <w:rsid w:val="111259DE"/>
    <w:rsid w:val="11350CA9"/>
    <w:rsid w:val="11614A30"/>
    <w:rsid w:val="11624E4C"/>
    <w:rsid w:val="117B3FAF"/>
    <w:rsid w:val="12176949"/>
    <w:rsid w:val="1234778D"/>
    <w:rsid w:val="12423888"/>
    <w:rsid w:val="125C6440"/>
    <w:rsid w:val="129D146B"/>
    <w:rsid w:val="12CC5BCB"/>
    <w:rsid w:val="1348765A"/>
    <w:rsid w:val="13564047"/>
    <w:rsid w:val="13631B7F"/>
    <w:rsid w:val="137F6AA2"/>
    <w:rsid w:val="13887DA2"/>
    <w:rsid w:val="139527D6"/>
    <w:rsid w:val="139B2F4E"/>
    <w:rsid w:val="13AE66E2"/>
    <w:rsid w:val="13AF61FC"/>
    <w:rsid w:val="13C61A3B"/>
    <w:rsid w:val="13DE2F10"/>
    <w:rsid w:val="13F2130D"/>
    <w:rsid w:val="141A7F45"/>
    <w:rsid w:val="144E49B9"/>
    <w:rsid w:val="14670FC5"/>
    <w:rsid w:val="147D3A69"/>
    <w:rsid w:val="147E14DD"/>
    <w:rsid w:val="152B0666"/>
    <w:rsid w:val="15402692"/>
    <w:rsid w:val="154113C8"/>
    <w:rsid w:val="15665DBC"/>
    <w:rsid w:val="15CA6F37"/>
    <w:rsid w:val="15EA6576"/>
    <w:rsid w:val="16054A4B"/>
    <w:rsid w:val="162528E5"/>
    <w:rsid w:val="16263260"/>
    <w:rsid w:val="16374D67"/>
    <w:rsid w:val="163D39D0"/>
    <w:rsid w:val="16597630"/>
    <w:rsid w:val="16713996"/>
    <w:rsid w:val="16A2107E"/>
    <w:rsid w:val="16E21658"/>
    <w:rsid w:val="17094684"/>
    <w:rsid w:val="173D1B2F"/>
    <w:rsid w:val="176420E7"/>
    <w:rsid w:val="17832F22"/>
    <w:rsid w:val="179E58A9"/>
    <w:rsid w:val="180C0EE0"/>
    <w:rsid w:val="1818112B"/>
    <w:rsid w:val="1824775D"/>
    <w:rsid w:val="182A2EFD"/>
    <w:rsid w:val="18686243"/>
    <w:rsid w:val="188822BA"/>
    <w:rsid w:val="18985952"/>
    <w:rsid w:val="189E10BB"/>
    <w:rsid w:val="189F49E6"/>
    <w:rsid w:val="18AE0C2A"/>
    <w:rsid w:val="18C70C86"/>
    <w:rsid w:val="18DB4640"/>
    <w:rsid w:val="18F151DA"/>
    <w:rsid w:val="18F320DE"/>
    <w:rsid w:val="190560FB"/>
    <w:rsid w:val="197A78BE"/>
    <w:rsid w:val="199C4797"/>
    <w:rsid w:val="19CB78F8"/>
    <w:rsid w:val="1A0B5E07"/>
    <w:rsid w:val="1A1C31BD"/>
    <w:rsid w:val="1A313140"/>
    <w:rsid w:val="1A4A3BEA"/>
    <w:rsid w:val="1A7810F2"/>
    <w:rsid w:val="1A812417"/>
    <w:rsid w:val="1AA658D7"/>
    <w:rsid w:val="1AE57A9F"/>
    <w:rsid w:val="1B034DFB"/>
    <w:rsid w:val="1B9C440E"/>
    <w:rsid w:val="1BA56456"/>
    <w:rsid w:val="1BAA7633"/>
    <w:rsid w:val="1BE11BF5"/>
    <w:rsid w:val="1BF50490"/>
    <w:rsid w:val="1C065FA8"/>
    <w:rsid w:val="1C10493F"/>
    <w:rsid w:val="1C1B18AA"/>
    <w:rsid w:val="1C3069C5"/>
    <w:rsid w:val="1C7266AC"/>
    <w:rsid w:val="1C765913"/>
    <w:rsid w:val="1CC64B32"/>
    <w:rsid w:val="1CCB6D1A"/>
    <w:rsid w:val="1CD816F3"/>
    <w:rsid w:val="1CE135AE"/>
    <w:rsid w:val="1D284EE7"/>
    <w:rsid w:val="1D4E738F"/>
    <w:rsid w:val="1E2E2887"/>
    <w:rsid w:val="1E332058"/>
    <w:rsid w:val="1E42457F"/>
    <w:rsid w:val="1E5F6CBF"/>
    <w:rsid w:val="1E936A98"/>
    <w:rsid w:val="1EB812F0"/>
    <w:rsid w:val="1EBA0925"/>
    <w:rsid w:val="1EC235DD"/>
    <w:rsid w:val="1EEE55AF"/>
    <w:rsid w:val="1EF246DA"/>
    <w:rsid w:val="1EF64A83"/>
    <w:rsid w:val="1F473DB8"/>
    <w:rsid w:val="1F6D5F1F"/>
    <w:rsid w:val="1F964589"/>
    <w:rsid w:val="1FA52271"/>
    <w:rsid w:val="1FEB777C"/>
    <w:rsid w:val="1FEC4A31"/>
    <w:rsid w:val="2000330C"/>
    <w:rsid w:val="202F2215"/>
    <w:rsid w:val="20507671"/>
    <w:rsid w:val="205B3877"/>
    <w:rsid w:val="206F0E54"/>
    <w:rsid w:val="207867EC"/>
    <w:rsid w:val="2081294B"/>
    <w:rsid w:val="2086773B"/>
    <w:rsid w:val="20C13F36"/>
    <w:rsid w:val="20CF192D"/>
    <w:rsid w:val="2138564D"/>
    <w:rsid w:val="214954F6"/>
    <w:rsid w:val="21612E87"/>
    <w:rsid w:val="21B824D8"/>
    <w:rsid w:val="21EC5E8C"/>
    <w:rsid w:val="22446A4F"/>
    <w:rsid w:val="2279755A"/>
    <w:rsid w:val="228812AB"/>
    <w:rsid w:val="228867CB"/>
    <w:rsid w:val="22BC2D81"/>
    <w:rsid w:val="22CA7256"/>
    <w:rsid w:val="23106E1C"/>
    <w:rsid w:val="231774AE"/>
    <w:rsid w:val="232B6052"/>
    <w:rsid w:val="23515C7D"/>
    <w:rsid w:val="235D33FC"/>
    <w:rsid w:val="23987A19"/>
    <w:rsid w:val="23ED1BFD"/>
    <w:rsid w:val="240841CA"/>
    <w:rsid w:val="241C26B2"/>
    <w:rsid w:val="242F39BE"/>
    <w:rsid w:val="243102DA"/>
    <w:rsid w:val="24371F7D"/>
    <w:rsid w:val="24762347"/>
    <w:rsid w:val="24D07903"/>
    <w:rsid w:val="25AA0B55"/>
    <w:rsid w:val="25B076E3"/>
    <w:rsid w:val="25B233C1"/>
    <w:rsid w:val="25C57066"/>
    <w:rsid w:val="25DB70D8"/>
    <w:rsid w:val="25E05F2D"/>
    <w:rsid w:val="25FB7087"/>
    <w:rsid w:val="2652540C"/>
    <w:rsid w:val="268702D8"/>
    <w:rsid w:val="26874D78"/>
    <w:rsid w:val="269B4655"/>
    <w:rsid w:val="26AF0F9B"/>
    <w:rsid w:val="26BF3674"/>
    <w:rsid w:val="26C93FB6"/>
    <w:rsid w:val="27064904"/>
    <w:rsid w:val="27AC4BD2"/>
    <w:rsid w:val="27B447FE"/>
    <w:rsid w:val="27B62BE1"/>
    <w:rsid w:val="27E343AC"/>
    <w:rsid w:val="281374C6"/>
    <w:rsid w:val="28185B24"/>
    <w:rsid w:val="28251CCE"/>
    <w:rsid w:val="282E2C7A"/>
    <w:rsid w:val="283A5A7B"/>
    <w:rsid w:val="283D6BFC"/>
    <w:rsid w:val="287F3F31"/>
    <w:rsid w:val="289E7D1F"/>
    <w:rsid w:val="28AF0146"/>
    <w:rsid w:val="28C87F01"/>
    <w:rsid w:val="291A0A70"/>
    <w:rsid w:val="29305EC5"/>
    <w:rsid w:val="29C57E36"/>
    <w:rsid w:val="29E2156F"/>
    <w:rsid w:val="29E74A19"/>
    <w:rsid w:val="29F01722"/>
    <w:rsid w:val="29FF4D8C"/>
    <w:rsid w:val="2A547E0D"/>
    <w:rsid w:val="2A731D20"/>
    <w:rsid w:val="2A9F59F4"/>
    <w:rsid w:val="2B365F57"/>
    <w:rsid w:val="2B5526E8"/>
    <w:rsid w:val="2B5D2164"/>
    <w:rsid w:val="2B81243E"/>
    <w:rsid w:val="2B931E31"/>
    <w:rsid w:val="2BB3317F"/>
    <w:rsid w:val="2BCB2192"/>
    <w:rsid w:val="2BD350C7"/>
    <w:rsid w:val="2C0D4F9C"/>
    <w:rsid w:val="2C11414B"/>
    <w:rsid w:val="2C3C2567"/>
    <w:rsid w:val="2C822985"/>
    <w:rsid w:val="2CA41F42"/>
    <w:rsid w:val="2CCD56C5"/>
    <w:rsid w:val="2CEAB696"/>
    <w:rsid w:val="2DA22F1A"/>
    <w:rsid w:val="2DBA00EF"/>
    <w:rsid w:val="2E2F4B03"/>
    <w:rsid w:val="2E354CAC"/>
    <w:rsid w:val="2ED40B6A"/>
    <w:rsid w:val="2F365ED0"/>
    <w:rsid w:val="2F451230"/>
    <w:rsid w:val="2F603BD1"/>
    <w:rsid w:val="2F9C2EF4"/>
    <w:rsid w:val="2FAE5176"/>
    <w:rsid w:val="2FC3269C"/>
    <w:rsid w:val="2FC95102"/>
    <w:rsid w:val="2FD97863"/>
    <w:rsid w:val="2FDA66C5"/>
    <w:rsid w:val="303B3292"/>
    <w:rsid w:val="30583737"/>
    <w:rsid w:val="306E4853"/>
    <w:rsid w:val="309B6D48"/>
    <w:rsid w:val="30BC5956"/>
    <w:rsid w:val="30E17F37"/>
    <w:rsid w:val="311B12AE"/>
    <w:rsid w:val="31444B78"/>
    <w:rsid w:val="3182590B"/>
    <w:rsid w:val="318C4CE3"/>
    <w:rsid w:val="319D60C9"/>
    <w:rsid w:val="31E26811"/>
    <w:rsid w:val="31E33626"/>
    <w:rsid w:val="32063590"/>
    <w:rsid w:val="32217B02"/>
    <w:rsid w:val="322578DC"/>
    <w:rsid w:val="322631DE"/>
    <w:rsid w:val="3251100E"/>
    <w:rsid w:val="32531057"/>
    <w:rsid w:val="326E77BD"/>
    <w:rsid w:val="329A218F"/>
    <w:rsid w:val="32AE318E"/>
    <w:rsid w:val="32D1700A"/>
    <w:rsid w:val="32E7412B"/>
    <w:rsid w:val="331E37F6"/>
    <w:rsid w:val="33215374"/>
    <w:rsid w:val="332B1792"/>
    <w:rsid w:val="3370088B"/>
    <w:rsid w:val="33983479"/>
    <w:rsid w:val="33BA573F"/>
    <w:rsid w:val="34256A57"/>
    <w:rsid w:val="346644A6"/>
    <w:rsid w:val="34724149"/>
    <w:rsid w:val="349E3B0C"/>
    <w:rsid w:val="349F1785"/>
    <w:rsid w:val="34A659DF"/>
    <w:rsid w:val="34A96AA0"/>
    <w:rsid w:val="34D352C4"/>
    <w:rsid w:val="34D35FD6"/>
    <w:rsid w:val="350A0226"/>
    <w:rsid w:val="35543BF8"/>
    <w:rsid w:val="35737E4E"/>
    <w:rsid w:val="358200B4"/>
    <w:rsid w:val="358C571F"/>
    <w:rsid w:val="35A00C42"/>
    <w:rsid w:val="35BB0F59"/>
    <w:rsid w:val="35D86C9B"/>
    <w:rsid w:val="35F6576B"/>
    <w:rsid w:val="36433ADA"/>
    <w:rsid w:val="364A0680"/>
    <w:rsid w:val="365522CE"/>
    <w:rsid w:val="366E0DC6"/>
    <w:rsid w:val="3671627B"/>
    <w:rsid w:val="367D513F"/>
    <w:rsid w:val="36881F1E"/>
    <w:rsid w:val="36B3796A"/>
    <w:rsid w:val="36BD6FBE"/>
    <w:rsid w:val="36DF1BEF"/>
    <w:rsid w:val="37470813"/>
    <w:rsid w:val="37543047"/>
    <w:rsid w:val="375E6385"/>
    <w:rsid w:val="376B5879"/>
    <w:rsid w:val="37762029"/>
    <w:rsid w:val="37A938E4"/>
    <w:rsid w:val="37B84EAF"/>
    <w:rsid w:val="37D40528"/>
    <w:rsid w:val="37FE0F96"/>
    <w:rsid w:val="380818BF"/>
    <w:rsid w:val="381131B0"/>
    <w:rsid w:val="381B4980"/>
    <w:rsid w:val="38301F6C"/>
    <w:rsid w:val="383B2350"/>
    <w:rsid w:val="38413EAC"/>
    <w:rsid w:val="38436A18"/>
    <w:rsid w:val="384B47BA"/>
    <w:rsid w:val="38544C44"/>
    <w:rsid w:val="388E2D23"/>
    <w:rsid w:val="38C30DA7"/>
    <w:rsid w:val="38E1502B"/>
    <w:rsid w:val="38FE61A7"/>
    <w:rsid w:val="3900415D"/>
    <w:rsid w:val="391D3746"/>
    <w:rsid w:val="392E2E9E"/>
    <w:rsid w:val="393A5D02"/>
    <w:rsid w:val="393A721D"/>
    <w:rsid w:val="393B06FB"/>
    <w:rsid w:val="394B24B6"/>
    <w:rsid w:val="395900D7"/>
    <w:rsid w:val="39625E8C"/>
    <w:rsid w:val="398D00A0"/>
    <w:rsid w:val="399625C4"/>
    <w:rsid w:val="39C33BAC"/>
    <w:rsid w:val="39D630A8"/>
    <w:rsid w:val="39EE7493"/>
    <w:rsid w:val="39EE782C"/>
    <w:rsid w:val="3A0958C4"/>
    <w:rsid w:val="3A2E3325"/>
    <w:rsid w:val="3A3054D6"/>
    <w:rsid w:val="3A3F6C20"/>
    <w:rsid w:val="3A5E2870"/>
    <w:rsid w:val="3A716BD8"/>
    <w:rsid w:val="3A8F06E5"/>
    <w:rsid w:val="3A94185E"/>
    <w:rsid w:val="3A9F06B7"/>
    <w:rsid w:val="3AA07ED8"/>
    <w:rsid w:val="3AEF18BC"/>
    <w:rsid w:val="3AF12BB4"/>
    <w:rsid w:val="3AF55A3F"/>
    <w:rsid w:val="3AFE797C"/>
    <w:rsid w:val="3B446959"/>
    <w:rsid w:val="3B761EAF"/>
    <w:rsid w:val="3B817505"/>
    <w:rsid w:val="3B8A1CD7"/>
    <w:rsid w:val="3BAF13C1"/>
    <w:rsid w:val="3BDB24CD"/>
    <w:rsid w:val="3C105234"/>
    <w:rsid w:val="3C237740"/>
    <w:rsid w:val="3C3B4C22"/>
    <w:rsid w:val="3C474131"/>
    <w:rsid w:val="3C64421D"/>
    <w:rsid w:val="3C7434B3"/>
    <w:rsid w:val="3CB27F59"/>
    <w:rsid w:val="3CC84EC2"/>
    <w:rsid w:val="3D192D93"/>
    <w:rsid w:val="3D1E0FD6"/>
    <w:rsid w:val="3D201018"/>
    <w:rsid w:val="3D313A6C"/>
    <w:rsid w:val="3D4F6824"/>
    <w:rsid w:val="3D503EC8"/>
    <w:rsid w:val="3D5B0C36"/>
    <w:rsid w:val="3D5C4068"/>
    <w:rsid w:val="3D692E25"/>
    <w:rsid w:val="3D6B45E9"/>
    <w:rsid w:val="3D8134C4"/>
    <w:rsid w:val="3DA76CFC"/>
    <w:rsid w:val="3DB2126B"/>
    <w:rsid w:val="3DD67484"/>
    <w:rsid w:val="3DE24260"/>
    <w:rsid w:val="3E0B08B7"/>
    <w:rsid w:val="3E4E4C1A"/>
    <w:rsid w:val="3E666508"/>
    <w:rsid w:val="3E7A2207"/>
    <w:rsid w:val="3E8E1AF5"/>
    <w:rsid w:val="3EAD0D12"/>
    <w:rsid w:val="3EAF3A21"/>
    <w:rsid w:val="3EDA45F3"/>
    <w:rsid w:val="3EDD74E9"/>
    <w:rsid w:val="3EE10548"/>
    <w:rsid w:val="3EEC2B4B"/>
    <w:rsid w:val="3F527AE6"/>
    <w:rsid w:val="3F7B5F31"/>
    <w:rsid w:val="3F824673"/>
    <w:rsid w:val="3FB260F4"/>
    <w:rsid w:val="3FC72C03"/>
    <w:rsid w:val="4000143E"/>
    <w:rsid w:val="40120F7C"/>
    <w:rsid w:val="401D1F23"/>
    <w:rsid w:val="403D176C"/>
    <w:rsid w:val="40756E23"/>
    <w:rsid w:val="40774216"/>
    <w:rsid w:val="409F74B8"/>
    <w:rsid w:val="40AB680D"/>
    <w:rsid w:val="40C604FD"/>
    <w:rsid w:val="41111E0E"/>
    <w:rsid w:val="41401DFE"/>
    <w:rsid w:val="4153617C"/>
    <w:rsid w:val="41606C35"/>
    <w:rsid w:val="41716B2A"/>
    <w:rsid w:val="41B47A8C"/>
    <w:rsid w:val="41B708CC"/>
    <w:rsid w:val="41C150ED"/>
    <w:rsid w:val="41D833E7"/>
    <w:rsid w:val="41E10E32"/>
    <w:rsid w:val="42057B69"/>
    <w:rsid w:val="420E36D6"/>
    <w:rsid w:val="4243462C"/>
    <w:rsid w:val="424A143C"/>
    <w:rsid w:val="42667C06"/>
    <w:rsid w:val="428677E1"/>
    <w:rsid w:val="428B2FC3"/>
    <w:rsid w:val="42A96E2D"/>
    <w:rsid w:val="42AF66C6"/>
    <w:rsid w:val="42CB0570"/>
    <w:rsid w:val="42CB20A0"/>
    <w:rsid w:val="42D32399"/>
    <w:rsid w:val="42F14F61"/>
    <w:rsid w:val="436943FA"/>
    <w:rsid w:val="43744044"/>
    <w:rsid w:val="43A5363C"/>
    <w:rsid w:val="43FB5E36"/>
    <w:rsid w:val="43FC7DEE"/>
    <w:rsid w:val="4421487A"/>
    <w:rsid w:val="44257501"/>
    <w:rsid w:val="443527FD"/>
    <w:rsid w:val="444310DF"/>
    <w:rsid w:val="44AB4CDE"/>
    <w:rsid w:val="44D64F7D"/>
    <w:rsid w:val="44E66C5A"/>
    <w:rsid w:val="44EF208A"/>
    <w:rsid w:val="45212AA8"/>
    <w:rsid w:val="453851DC"/>
    <w:rsid w:val="453E1B05"/>
    <w:rsid w:val="457B14B8"/>
    <w:rsid w:val="45843197"/>
    <w:rsid w:val="45B01538"/>
    <w:rsid w:val="45B6790E"/>
    <w:rsid w:val="45B8382E"/>
    <w:rsid w:val="45D40684"/>
    <w:rsid w:val="45E71CC9"/>
    <w:rsid w:val="4601194E"/>
    <w:rsid w:val="463249B4"/>
    <w:rsid w:val="46672A38"/>
    <w:rsid w:val="4674333A"/>
    <w:rsid w:val="46995889"/>
    <w:rsid w:val="46CB269D"/>
    <w:rsid w:val="46F77452"/>
    <w:rsid w:val="473F614D"/>
    <w:rsid w:val="474243A0"/>
    <w:rsid w:val="4759433B"/>
    <w:rsid w:val="47604FEE"/>
    <w:rsid w:val="4792335E"/>
    <w:rsid w:val="47B60B78"/>
    <w:rsid w:val="47E77875"/>
    <w:rsid w:val="482119B8"/>
    <w:rsid w:val="483B4333"/>
    <w:rsid w:val="48590A11"/>
    <w:rsid w:val="488D5A6C"/>
    <w:rsid w:val="48C075B3"/>
    <w:rsid w:val="48F86334"/>
    <w:rsid w:val="48F929D4"/>
    <w:rsid w:val="4962441F"/>
    <w:rsid w:val="4970249E"/>
    <w:rsid w:val="49730CB4"/>
    <w:rsid w:val="497D7382"/>
    <w:rsid w:val="49C22BCB"/>
    <w:rsid w:val="4A226933"/>
    <w:rsid w:val="4A3916CB"/>
    <w:rsid w:val="4A974886"/>
    <w:rsid w:val="4AA6010B"/>
    <w:rsid w:val="4AAA3D85"/>
    <w:rsid w:val="4AD02EBF"/>
    <w:rsid w:val="4AE04050"/>
    <w:rsid w:val="4AFA0DA0"/>
    <w:rsid w:val="4B1E0346"/>
    <w:rsid w:val="4B2905F8"/>
    <w:rsid w:val="4B557248"/>
    <w:rsid w:val="4B8043DC"/>
    <w:rsid w:val="4BA650A8"/>
    <w:rsid w:val="4BB44C5D"/>
    <w:rsid w:val="4C0A5DF2"/>
    <w:rsid w:val="4C0D52C0"/>
    <w:rsid w:val="4C2339DF"/>
    <w:rsid w:val="4C2E304C"/>
    <w:rsid w:val="4C5D03B4"/>
    <w:rsid w:val="4C6512DA"/>
    <w:rsid w:val="4CAD6C7D"/>
    <w:rsid w:val="4D0A70AC"/>
    <w:rsid w:val="4D1945AD"/>
    <w:rsid w:val="4D48464D"/>
    <w:rsid w:val="4D4E4913"/>
    <w:rsid w:val="4D584F08"/>
    <w:rsid w:val="4D6D0EC4"/>
    <w:rsid w:val="4D7104D5"/>
    <w:rsid w:val="4D724667"/>
    <w:rsid w:val="4DAE6E35"/>
    <w:rsid w:val="4DC8118A"/>
    <w:rsid w:val="4E1968F7"/>
    <w:rsid w:val="4EA1520E"/>
    <w:rsid w:val="4EC50BF6"/>
    <w:rsid w:val="4EC51749"/>
    <w:rsid w:val="4ED46DD5"/>
    <w:rsid w:val="4EEB3CFC"/>
    <w:rsid w:val="4F7A294F"/>
    <w:rsid w:val="4F887B57"/>
    <w:rsid w:val="4FA148FC"/>
    <w:rsid w:val="4FDE211A"/>
    <w:rsid w:val="501721B8"/>
    <w:rsid w:val="503D1D96"/>
    <w:rsid w:val="50586247"/>
    <w:rsid w:val="505D393E"/>
    <w:rsid w:val="50A44C5E"/>
    <w:rsid w:val="50A96279"/>
    <w:rsid w:val="50C40E21"/>
    <w:rsid w:val="51270684"/>
    <w:rsid w:val="514473B3"/>
    <w:rsid w:val="51491617"/>
    <w:rsid w:val="5156573D"/>
    <w:rsid w:val="5156629B"/>
    <w:rsid w:val="516C66A1"/>
    <w:rsid w:val="51815BE4"/>
    <w:rsid w:val="51941DB4"/>
    <w:rsid w:val="519B1EEF"/>
    <w:rsid w:val="51FA3042"/>
    <w:rsid w:val="5232164B"/>
    <w:rsid w:val="528E4961"/>
    <w:rsid w:val="52951262"/>
    <w:rsid w:val="52B25F70"/>
    <w:rsid w:val="52C60121"/>
    <w:rsid w:val="52D235FE"/>
    <w:rsid w:val="52D903A1"/>
    <w:rsid w:val="53071405"/>
    <w:rsid w:val="53255488"/>
    <w:rsid w:val="53301CF8"/>
    <w:rsid w:val="534C4861"/>
    <w:rsid w:val="53725792"/>
    <w:rsid w:val="537F2F4F"/>
    <w:rsid w:val="53831669"/>
    <w:rsid w:val="53A66458"/>
    <w:rsid w:val="53C8582F"/>
    <w:rsid w:val="53D527BE"/>
    <w:rsid w:val="53DC48C6"/>
    <w:rsid w:val="53DE277E"/>
    <w:rsid w:val="53EB34F0"/>
    <w:rsid w:val="53FD497F"/>
    <w:rsid w:val="542A223F"/>
    <w:rsid w:val="544B126B"/>
    <w:rsid w:val="54683F78"/>
    <w:rsid w:val="54970771"/>
    <w:rsid w:val="54BD49C5"/>
    <w:rsid w:val="54DF1802"/>
    <w:rsid w:val="54FD2D88"/>
    <w:rsid w:val="55444AF7"/>
    <w:rsid w:val="555F3F2F"/>
    <w:rsid w:val="557A5D6B"/>
    <w:rsid w:val="55951FB6"/>
    <w:rsid w:val="55A93453"/>
    <w:rsid w:val="55CA3578"/>
    <w:rsid w:val="55D503E5"/>
    <w:rsid w:val="55D70103"/>
    <w:rsid w:val="55F56698"/>
    <w:rsid w:val="560838D5"/>
    <w:rsid w:val="56085BFB"/>
    <w:rsid w:val="56681751"/>
    <w:rsid w:val="569E329A"/>
    <w:rsid w:val="56CB5751"/>
    <w:rsid w:val="57013C88"/>
    <w:rsid w:val="573109F3"/>
    <w:rsid w:val="57613516"/>
    <w:rsid w:val="57A862CB"/>
    <w:rsid w:val="57CF7F68"/>
    <w:rsid w:val="57FA6729"/>
    <w:rsid w:val="58077D84"/>
    <w:rsid w:val="584A6E1F"/>
    <w:rsid w:val="585C5FA4"/>
    <w:rsid w:val="5863404D"/>
    <w:rsid w:val="58922AD5"/>
    <w:rsid w:val="58AA7301"/>
    <w:rsid w:val="58ED606D"/>
    <w:rsid w:val="58EF0471"/>
    <w:rsid w:val="590609E7"/>
    <w:rsid w:val="5A1D27A0"/>
    <w:rsid w:val="5A5475A3"/>
    <w:rsid w:val="5A7A5FC4"/>
    <w:rsid w:val="5AAE7E57"/>
    <w:rsid w:val="5ACF73D4"/>
    <w:rsid w:val="5AFF6552"/>
    <w:rsid w:val="5B2047C7"/>
    <w:rsid w:val="5B504731"/>
    <w:rsid w:val="5B5E6673"/>
    <w:rsid w:val="5B7B4939"/>
    <w:rsid w:val="5B842FF6"/>
    <w:rsid w:val="5BA045E1"/>
    <w:rsid w:val="5BA95DF2"/>
    <w:rsid w:val="5BC0673F"/>
    <w:rsid w:val="5BCD36E5"/>
    <w:rsid w:val="5C11612C"/>
    <w:rsid w:val="5C22021E"/>
    <w:rsid w:val="5C3213B7"/>
    <w:rsid w:val="5C3A7457"/>
    <w:rsid w:val="5C4B4BEF"/>
    <w:rsid w:val="5C580BA5"/>
    <w:rsid w:val="5C595603"/>
    <w:rsid w:val="5C6815F1"/>
    <w:rsid w:val="5C7D158A"/>
    <w:rsid w:val="5C7F5B94"/>
    <w:rsid w:val="5C851A9A"/>
    <w:rsid w:val="5CAD4D1C"/>
    <w:rsid w:val="5CD33246"/>
    <w:rsid w:val="5D3B407C"/>
    <w:rsid w:val="5D8E7DAE"/>
    <w:rsid w:val="5D9D0675"/>
    <w:rsid w:val="5DA6361F"/>
    <w:rsid w:val="5DC6112F"/>
    <w:rsid w:val="5DE63ED7"/>
    <w:rsid w:val="5E004BE5"/>
    <w:rsid w:val="5E895E4D"/>
    <w:rsid w:val="5E896C64"/>
    <w:rsid w:val="5E902AFD"/>
    <w:rsid w:val="5EB21FB9"/>
    <w:rsid w:val="5EDD7862"/>
    <w:rsid w:val="5EDE772E"/>
    <w:rsid w:val="5EF950A4"/>
    <w:rsid w:val="5F071499"/>
    <w:rsid w:val="5F103893"/>
    <w:rsid w:val="5F320E75"/>
    <w:rsid w:val="5F407953"/>
    <w:rsid w:val="5F635C1E"/>
    <w:rsid w:val="5F83210C"/>
    <w:rsid w:val="5F92767A"/>
    <w:rsid w:val="5F9626AA"/>
    <w:rsid w:val="5FCC3A1C"/>
    <w:rsid w:val="5FDB0188"/>
    <w:rsid w:val="5FE027F9"/>
    <w:rsid w:val="60054769"/>
    <w:rsid w:val="604D0369"/>
    <w:rsid w:val="605348AE"/>
    <w:rsid w:val="6061541B"/>
    <w:rsid w:val="60705880"/>
    <w:rsid w:val="60A33841"/>
    <w:rsid w:val="60C80769"/>
    <w:rsid w:val="60EE3D77"/>
    <w:rsid w:val="61032FA5"/>
    <w:rsid w:val="615D587B"/>
    <w:rsid w:val="61786AA4"/>
    <w:rsid w:val="61F40248"/>
    <w:rsid w:val="61FE2E87"/>
    <w:rsid w:val="621B52E4"/>
    <w:rsid w:val="62744778"/>
    <w:rsid w:val="6286125A"/>
    <w:rsid w:val="629051A6"/>
    <w:rsid w:val="62AB16B6"/>
    <w:rsid w:val="62FC35CE"/>
    <w:rsid w:val="63110F15"/>
    <w:rsid w:val="631C60F8"/>
    <w:rsid w:val="633428EF"/>
    <w:rsid w:val="634007FF"/>
    <w:rsid w:val="636C5895"/>
    <w:rsid w:val="637D49D4"/>
    <w:rsid w:val="63A00D79"/>
    <w:rsid w:val="63A808C8"/>
    <w:rsid w:val="63E256F3"/>
    <w:rsid w:val="63F85DF4"/>
    <w:rsid w:val="642937D3"/>
    <w:rsid w:val="642C13F5"/>
    <w:rsid w:val="64822D5B"/>
    <w:rsid w:val="648F6186"/>
    <w:rsid w:val="64B41DBE"/>
    <w:rsid w:val="64BF31A4"/>
    <w:rsid w:val="64E07DDF"/>
    <w:rsid w:val="650E0B7F"/>
    <w:rsid w:val="6527478A"/>
    <w:rsid w:val="65612BBB"/>
    <w:rsid w:val="65AA3A5A"/>
    <w:rsid w:val="65B66AED"/>
    <w:rsid w:val="66041979"/>
    <w:rsid w:val="66104C01"/>
    <w:rsid w:val="662513C2"/>
    <w:rsid w:val="66321525"/>
    <w:rsid w:val="66425883"/>
    <w:rsid w:val="664F2730"/>
    <w:rsid w:val="665223C4"/>
    <w:rsid w:val="665259B0"/>
    <w:rsid w:val="66A707D5"/>
    <w:rsid w:val="66A74E97"/>
    <w:rsid w:val="66BD6EEE"/>
    <w:rsid w:val="66F67FEC"/>
    <w:rsid w:val="66F72C4B"/>
    <w:rsid w:val="67153B08"/>
    <w:rsid w:val="672A657E"/>
    <w:rsid w:val="673A18FA"/>
    <w:rsid w:val="673E07EC"/>
    <w:rsid w:val="67495713"/>
    <w:rsid w:val="67826A0C"/>
    <w:rsid w:val="67C95A01"/>
    <w:rsid w:val="67E0021A"/>
    <w:rsid w:val="681F33BD"/>
    <w:rsid w:val="68295A11"/>
    <w:rsid w:val="686A5846"/>
    <w:rsid w:val="688D401A"/>
    <w:rsid w:val="68927620"/>
    <w:rsid w:val="68A37CDA"/>
    <w:rsid w:val="68CA46E5"/>
    <w:rsid w:val="68F0192B"/>
    <w:rsid w:val="69041901"/>
    <w:rsid w:val="69241E66"/>
    <w:rsid w:val="69A12C64"/>
    <w:rsid w:val="69B65560"/>
    <w:rsid w:val="69C1461B"/>
    <w:rsid w:val="6A0B07B2"/>
    <w:rsid w:val="6A1A77B0"/>
    <w:rsid w:val="6A4B7473"/>
    <w:rsid w:val="6A532251"/>
    <w:rsid w:val="6A7243A8"/>
    <w:rsid w:val="6A8A1892"/>
    <w:rsid w:val="6A8F5CC2"/>
    <w:rsid w:val="6ACC744A"/>
    <w:rsid w:val="6B1E0F98"/>
    <w:rsid w:val="6B2E25A8"/>
    <w:rsid w:val="6B335DBA"/>
    <w:rsid w:val="6B4779C1"/>
    <w:rsid w:val="6B724B96"/>
    <w:rsid w:val="6B784EE4"/>
    <w:rsid w:val="6B9C5289"/>
    <w:rsid w:val="6BB12123"/>
    <w:rsid w:val="6BB21CDA"/>
    <w:rsid w:val="6BCB29FB"/>
    <w:rsid w:val="6BCB55C4"/>
    <w:rsid w:val="6C0B097F"/>
    <w:rsid w:val="6C352174"/>
    <w:rsid w:val="6C5D2335"/>
    <w:rsid w:val="6C617715"/>
    <w:rsid w:val="6C874964"/>
    <w:rsid w:val="6C8D1F50"/>
    <w:rsid w:val="6C917E60"/>
    <w:rsid w:val="6CBE1A7C"/>
    <w:rsid w:val="6D104FA7"/>
    <w:rsid w:val="6D335890"/>
    <w:rsid w:val="6D554900"/>
    <w:rsid w:val="6D5739E4"/>
    <w:rsid w:val="6D7D7AEC"/>
    <w:rsid w:val="6D933AE5"/>
    <w:rsid w:val="6DB70AC5"/>
    <w:rsid w:val="6DD74319"/>
    <w:rsid w:val="6DE36BDD"/>
    <w:rsid w:val="6E2A2364"/>
    <w:rsid w:val="6E3C3C01"/>
    <w:rsid w:val="6E6D0839"/>
    <w:rsid w:val="6E6E51F1"/>
    <w:rsid w:val="6E8E2CEF"/>
    <w:rsid w:val="6EC22F62"/>
    <w:rsid w:val="6EC865E4"/>
    <w:rsid w:val="6EC963F0"/>
    <w:rsid w:val="6EC97037"/>
    <w:rsid w:val="6ED165C9"/>
    <w:rsid w:val="6ED97BB3"/>
    <w:rsid w:val="6F130857"/>
    <w:rsid w:val="6F180E78"/>
    <w:rsid w:val="6F3E3E29"/>
    <w:rsid w:val="6FE14DFC"/>
    <w:rsid w:val="700A6A44"/>
    <w:rsid w:val="702923F2"/>
    <w:rsid w:val="702F27F7"/>
    <w:rsid w:val="70AB32B3"/>
    <w:rsid w:val="70B92AB1"/>
    <w:rsid w:val="70BA47C1"/>
    <w:rsid w:val="70F53D38"/>
    <w:rsid w:val="710E1A76"/>
    <w:rsid w:val="71337529"/>
    <w:rsid w:val="71347063"/>
    <w:rsid w:val="713549F8"/>
    <w:rsid w:val="7145241C"/>
    <w:rsid w:val="714639D7"/>
    <w:rsid w:val="71584F26"/>
    <w:rsid w:val="715D4598"/>
    <w:rsid w:val="716A71A6"/>
    <w:rsid w:val="717C3B04"/>
    <w:rsid w:val="71842D01"/>
    <w:rsid w:val="71FB063E"/>
    <w:rsid w:val="721A0CFB"/>
    <w:rsid w:val="72222CAA"/>
    <w:rsid w:val="72303354"/>
    <w:rsid w:val="72305224"/>
    <w:rsid w:val="724C21AB"/>
    <w:rsid w:val="727C11A4"/>
    <w:rsid w:val="728839B6"/>
    <w:rsid w:val="728C24E4"/>
    <w:rsid w:val="72B6717C"/>
    <w:rsid w:val="72BF25A8"/>
    <w:rsid w:val="73057C55"/>
    <w:rsid w:val="73122BAD"/>
    <w:rsid w:val="731B3A5B"/>
    <w:rsid w:val="732B7404"/>
    <w:rsid w:val="736C7494"/>
    <w:rsid w:val="73972A34"/>
    <w:rsid w:val="74A03759"/>
    <w:rsid w:val="74CD6809"/>
    <w:rsid w:val="75233E0E"/>
    <w:rsid w:val="75317746"/>
    <w:rsid w:val="754177AF"/>
    <w:rsid w:val="754771DF"/>
    <w:rsid w:val="758E695E"/>
    <w:rsid w:val="75904835"/>
    <w:rsid w:val="759146B2"/>
    <w:rsid w:val="75BC729F"/>
    <w:rsid w:val="75E12CF2"/>
    <w:rsid w:val="76555933"/>
    <w:rsid w:val="7678067B"/>
    <w:rsid w:val="767A77F6"/>
    <w:rsid w:val="7687410A"/>
    <w:rsid w:val="76A159B9"/>
    <w:rsid w:val="76CD5479"/>
    <w:rsid w:val="76D26EA7"/>
    <w:rsid w:val="77091160"/>
    <w:rsid w:val="772F7408"/>
    <w:rsid w:val="773E24DB"/>
    <w:rsid w:val="77437B3B"/>
    <w:rsid w:val="77A366A5"/>
    <w:rsid w:val="77B37C05"/>
    <w:rsid w:val="77E44D74"/>
    <w:rsid w:val="78437466"/>
    <w:rsid w:val="789E5034"/>
    <w:rsid w:val="78A12C82"/>
    <w:rsid w:val="78BB38EE"/>
    <w:rsid w:val="78CD4306"/>
    <w:rsid w:val="78E26382"/>
    <w:rsid w:val="78E34A01"/>
    <w:rsid w:val="79115FB2"/>
    <w:rsid w:val="795456CF"/>
    <w:rsid w:val="79622501"/>
    <w:rsid w:val="796866CA"/>
    <w:rsid w:val="79851371"/>
    <w:rsid w:val="79A17593"/>
    <w:rsid w:val="79DA070E"/>
    <w:rsid w:val="79E0079C"/>
    <w:rsid w:val="7A073349"/>
    <w:rsid w:val="7A2F405B"/>
    <w:rsid w:val="7A535694"/>
    <w:rsid w:val="7A582C83"/>
    <w:rsid w:val="7A5D4FA2"/>
    <w:rsid w:val="7A833207"/>
    <w:rsid w:val="7AAF0351"/>
    <w:rsid w:val="7AC111FB"/>
    <w:rsid w:val="7B612A6A"/>
    <w:rsid w:val="7B97260E"/>
    <w:rsid w:val="7BAB02A4"/>
    <w:rsid w:val="7BDF68D3"/>
    <w:rsid w:val="7BE94256"/>
    <w:rsid w:val="7C425FA7"/>
    <w:rsid w:val="7C567D1C"/>
    <w:rsid w:val="7C5E1211"/>
    <w:rsid w:val="7C695A4B"/>
    <w:rsid w:val="7C6B38C4"/>
    <w:rsid w:val="7C701128"/>
    <w:rsid w:val="7CC2160A"/>
    <w:rsid w:val="7CC41B02"/>
    <w:rsid w:val="7CC63089"/>
    <w:rsid w:val="7CE24661"/>
    <w:rsid w:val="7D6540DE"/>
    <w:rsid w:val="7D6A35AE"/>
    <w:rsid w:val="7D7732DA"/>
    <w:rsid w:val="7DCB4FC1"/>
    <w:rsid w:val="7DEF083C"/>
    <w:rsid w:val="7E085A7A"/>
    <w:rsid w:val="7E1571D1"/>
    <w:rsid w:val="7E397815"/>
    <w:rsid w:val="7E5B6245"/>
    <w:rsid w:val="7E654D8C"/>
    <w:rsid w:val="7E886F6D"/>
    <w:rsid w:val="7EC141E3"/>
    <w:rsid w:val="7ED452E4"/>
    <w:rsid w:val="7EDA4589"/>
    <w:rsid w:val="7EEE5EE6"/>
    <w:rsid w:val="7EFA6F80"/>
    <w:rsid w:val="7EFE2D93"/>
    <w:rsid w:val="7F6909AB"/>
    <w:rsid w:val="7F700060"/>
    <w:rsid w:val="7F881F76"/>
    <w:rsid w:val="7FAA0922"/>
    <w:rsid w:val="7FBD326D"/>
    <w:rsid w:val="7FE6400D"/>
    <w:rsid w:val="BE7974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6" w:lineRule="auto"/>
      <w:outlineLvl w:val="0"/>
    </w:pPr>
    <w:rPr>
      <w:rFonts w:ascii="Calibri" w:hAnsi="Calibri"/>
      <w:b/>
      <w:kern w:val="44"/>
      <w:sz w:val="44"/>
      <w:szCs w:val="44"/>
    </w:rPr>
  </w:style>
  <w:style w:type="paragraph" w:styleId="3">
    <w:name w:val="heading 2"/>
    <w:basedOn w:val="1"/>
    <w:next w:val="1"/>
    <w:link w:val="30"/>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37"/>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8"/>
    <w:qFormat/>
    <w:uiPriority w:val="0"/>
    <w:pPr>
      <w:ind w:left="100" w:leftChars="2500"/>
    </w:pPr>
  </w:style>
  <w:style w:type="paragraph" w:styleId="6">
    <w:name w:val="Balloon Text"/>
    <w:basedOn w:val="1"/>
    <w:link w:val="39"/>
    <w:semiHidden/>
    <w:unhideWhenUsed/>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rPr>
      <w:szCs w:val="20"/>
    </w:rPr>
  </w:style>
  <w:style w:type="character" w:styleId="15">
    <w:name w:val="Hyperlink"/>
    <w:basedOn w:val="13"/>
    <w:unhideWhenUsed/>
    <w:qFormat/>
    <w:uiPriority w:val="99"/>
    <w:rPr>
      <w:color w:val="0563C1" w:themeColor="hyperlink"/>
      <w:u w:val="single"/>
    </w:rPr>
  </w:style>
  <w:style w:type="character" w:customStyle="1" w:styleId="16">
    <w:name w:val="font31"/>
    <w:qFormat/>
    <w:uiPriority w:val="0"/>
    <w:rPr>
      <w:rFonts w:hint="eastAsia" w:ascii="宋体" w:hAnsi="宋体" w:eastAsia="宋体" w:cs="宋体"/>
      <w:b/>
      <w:color w:val="000000"/>
      <w:sz w:val="18"/>
      <w:szCs w:val="18"/>
      <w:u w:val="none"/>
    </w:rPr>
  </w:style>
  <w:style w:type="character" w:customStyle="1" w:styleId="17">
    <w:name w:val="font01"/>
    <w:qFormat/>
    <w:uiPriority w:val="0"/>
    <w:rPr>
      <w:rFonts w:hint="eastAsia" w:ascii="宋体" w:hAnsi="宋体" w:eastAsia="宋体" w:cs="宋体"/>
      <w:color w:val="000000"/>
      <w:sz w:val="18"/>
      <w:szCs w:val="18"/>
    </w:rPr>
  </w:style>
  <w:style w:type="character" w:customStyle="1" w:styleId="18">
    <w:name w:val="日期 Char"/>
    <w:basedOn w:val="13"/>
    <w:link w:val="5"/>
    <w:qFormat/>
    <w:uiPriority w:val="0"/>
    <w:rPr>
      <w:szCs w:val="20"/>
    </w:rPr>
  </w:style>
  <w:style w:type="character" w:customStyle="1" w:styleId="19">
    <w:name w:val="font41"/>
    <w:qFormat/>
    <w:uiPriority w:val="0"/>
    <w:rPr>
      <w:rFonts w:hint="eastAsia" w:ascii="宋体" w:hAnsi="宋体" w:eastAsia="宋体" w:cs="宋体"/>
      <w:color w:val="000000"/>
      <w:sz w:val="18"/>
      <w:szCs w:val="18"/>
      <w:u w:val="none"/>
    </w:rPr>
  </w:style>
  <w:style w:type="character" w:customStyle="1" w:styleId="20">
    <w:name w:val="font21"/>
    <w:qFormat/>
    <w:uiPriority w:val="0"/>
    <w:rPr>
      <w:rFonts w:hint="eastAsia" w:ascii="宋体" w:hAnsi="宋体" w:eastAsia="宋体" w:cs="宋体"/>
      <w:color w:val="000000"/>
      <w:sz w:val="18"/>
      <w:szCs w:val="18"/>
      <w:u w:val="none"/>
    </w:rPr>
  </w:style>
  <w:style w:type="character" w:customStyle="1" w:styleId="21">
    <w:name w:val="标题 1 Char"/>
    <w:link w:val="2"/>
    <w:qFormat/>
    <w:uiPriority w:val="0"/>
    <w:rPr>
      <w:b/>
      <w:kern w:val="44"/>
      <w:sz w:val="44"/>
      <w:szCs w:val="44"/>
    </w:rPr>
  </w:style>
  <w:style w:type="character" w:customStyle="1" w:styleId="22">
    <w:name w:val="font81"/>
    <w:qFormat/>
    <w:uiPriority w:val="0"/>
    <w:rPr>
      <w:rFonts w:hint="eastAsia" w:ascii="宋体" w:hAnsi="宋体" w:eastAsia="宋体" w:cs="宋体"/>
      <w:b/>
      <w:color w:val="000000"/>
      <w:sz w:val="24"/>
      <w:szCs w:val="24"/>
      <w:u w:val="none"/>
    </w:rPr>
  </w:style>
  <w:style w:type="character" w:customStyle="1" w:styleId="23">
    <w:name w:val="页脚 Char"/>
    <w:link w:val="7"/>
    <w:qFormat/>
    <w:uiPriority w:val="99"/>
    <w:rPr>
      <w:sz w:val="18"/>
      <w:szCs w:val="18"/>
    </w:rPr>
  </w:style>
  <w:style w:type="character" w:customStyle="1" w:styleId="24">
    <w:name w:val="font51"/>
    <w:qFormat/>
    <w:uiPriority w:val="0"/>
    <w:rPr>
      <w:rFonts w:hint="eastAsia" w:ascii="宋体" w:hAnsi="宋体" w:eastAsia="宋体" w:cs="宋体"/>
      <w:b/>
      <w:color w:val="000000"/>
      <w:sz w:val="18"/>
      <w:szCs w:val="18"/>
      <w:u w:val="none"/>
    </w:rPr>
  </w:style>
  <w:style w:type="character" w:customStyle="1" w:styleId="25">
    <w:name w:val="font61"/>
    <w:qFormat/>
    <w:uiPriority w:val="0"/>
    <w:rPr>
      <w:rFonts w:hint="eastAsia" w:ascii="宋体" w:hAnsi="宋体" w:eastAsia="宋体" w:cs="宋体"/>
      <w:color w:val="000000"/>
      <w:sz w:val="18"/>
      <w:szCs w:val="18"/>
      <w:u w:val="none"/>
    </w:rPr>
  </w:style>
  <w:style w:type="character" w:customStyle="1" w:styleId="26">
    <w:name w:val="font11"/>
    <w:qFormat/>
    <w:uiPriority w:val="0"/>
    <w:rPr>
      <w:rFonts w:hint="eastAsia" w:ascii="宋体" w:hAnsi="宋体" w:eastAsia="宋体" w:cs="宋体"/>
      <w:color w:val="000000"/>
      <w:sz w:val="18"/>
      <w:szCs w:val="18"/>
    </w:rPr>
  </w:style>
  <w:style w:type="character" w:customStyle="1" w:styleId="27">
    <w:name w:val="p0 Char"/>
    <w:link w:val="28"/>
    <w:qFormat/>
    <w:uiPriority w:val="0"/>
    <w:rPr>
      <w:kern w:val="0"/>
      <w:szCs w:val="21"/>
    </w:rPr>
  </w:style>
  <w:style w:type="paragraph" w:customStyle="1" w:styleId="28">
    <w:name w:val="p0"/>
    <w:basedOn w:val="1"/>
    <w:link w:val="27"/>
    <w:qFormat/>
    <w:uiPriority w:val="0"/>
    <w:pPr>
      <w:widowControl/>
    </w:pPr>
    <w:rPr>
      <w:kern w:val="0"/>
      <w:szCs w:val="21"/>
    </w:rPr>
  </w:style>
  <w:style w:type="character" w:customStyle="1" w:styleId="29">
    <w:name w:val="页眉 Char"/>
    <w:link w:val="8"/>
    <w:qFormat/>
    <w:uiPriority w:val="99"/>
    <w:rPr>
      <w:sz w:val="18"/>
      <w:szCs w:val="18"/>
    </w:rPr>
  </w:style>
  <w:style w:type="character" w:customStyle="1" w:styleId="30">
    <w:name w:val="标题 2 Char"/>
    <w:link w:val="3"/>
    <w:qFormat/>
    <w:uiPriority w:val="0"/>
    <w:rPr>
      <w:rFonts w:hint="default" w:ascii="Calibri Light" w:hAnsi="Calibri Light" w:eastAsia="宋体" w:cs="Times New Roman"/>
      <w:b/>
      <w:sz w:val="32"/>
      <w:szCs w:val="32"/>
    </w:rPr>
  </w:style>
  <w:style w:type="character" w:customStyle="1" w:styleId="31">
    <w:name w:val="font71"/>
    <w:qFormat/>
    <w:uiPriority w:val="0"/>
    <w:rPr>
      <w:rFonts w:hint="default" w:ascii="仿宋_GB2312" w:eastAsia="仿宋_GB2312" w:cs="仿宋_GB2312"/>
      <w:color w:val="000000"/>
      <w:sz w:val="22"/>
      <w:szCs w:val="22"/>
      <w:u w:val="none"/>
    </w:rPr>
  </w:style>
  <w:style w:type="paragraph" w:customStyle="1" w:styleId="32">
    <w:name w:val="Char Char Char Char Char Char"/>
    <w:basedOn w:val="1"/>
    <w:qFormat/>
    <w:uiPriority w:val="0"/>
    <w:pPr>
      <w:widowControl/>
      <w:spacing w:after="160" w:line="240" w:lineRule="exact"/>
      <w:jc w:val="left"/>
    </w:p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Char Char Char Char Char Char Char"/>
    <w:basedOn w:val="1"/>
    <w:qFormat/>
    <w:uiPriority w:val="0"/>
  </w:style>
  <w:style w:type="paragraph" w:customStyle="1" w:styleId="36">
    <w:name w:val="默认段落字体 Para Char Char Char Char"/>
    <w:basedOn w:val="1"/>
    <w:qFormat/>
    <w:uiPriority w:val="0"/>
    <w:rPr>
      <w:szCs w:val="20"/>
    </w:rPr>
  </w:style>
  <w:style w:type="character" w:customStyle="1" w:styleId="37">
    <w:name w:val="标题 3 Char"/>
    <w:basedOn w:val="13"/>
    <w:link w:val="4"/>
    <w:semiHidden/>
    <w:qFormat/>
    <w:uiPriority w:val="9"/>
    <w:rPr>
      <w:b/>
      <w:bCs/>
      <w:kern w:val="2"/>
      <w:sz w:val="32"/>
      <w:szCs w:val="32"/>
    </w:rPr>
  </w:style>
  <w:style w:type="paragraph" w:customStyle="1" w:styleId="38">
    <w:name w:val="正文（正式）"/>
    <w:basedOn w:val="1"/>
    <w:qFormat/>
    <w:uiPriority w:val="0"/>
    <w:pPr>
      <w:widowControl/>
      <w:spacing w:after="160" w:line="240" w:lineRule="exact"/>
      <w:jc w:val="left"/>
    </w:pPr>
    <w:rPr>
      <w:rFonts w:ascii="Calibri" w:hAnsi="Calibri"/>
      <w:szCs w:val="24"/>
    </w:rPr>
  </w:style>
  <w:style w:type="character" w:customStyle="1" w:styleId="39">
    <w:name w:val="批注框文本 Char"/>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3"/>
    <customShpInfo spid="_x0000_s4102"/>
    <customShpInfo spid="_x0000_s4101"/>
    <customShpInfo spid="_x0000_s4100"/>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140</Pages>
  <Words>12532</Words>
  <Characters>71438</Characters>
  <Lines>595</Lines>
  <Paragraphs>167</Paragraphs>
  <TotalTime>3966</TotalTime>
  <ScaleCrop>false</ScaleCrop>
  <LinksUpToDate>false</LinksUpToDate>
  <CharactersWithSpaces>83803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2021-02-12T18:50:00Z</dcterms:created>
  <dc:creator>xiaofei li</dc:creator>
  <cp:lastModifiedBy>uos</cp:lastModifiedBy>
  <cp:lastPrinted>2021-04-02T01:16:00Z</cp:lastPrinted>
  <dcterms:modified xsi:type="dcterms:W3CDTF">2021-10-14T16:08:42Z</dcterms:modified>
  <dc:title>昌江县“十三五”发展初步设想</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