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360" w:lineRule="auto"/>
        <w:ind w:firstLine="420"/>
        <w:jc w:val="center"/>
        <w:rPr>
          <w:b/>
          <w:sz w:val="44"/>
          <w:szCs w:val="44"/>
        </w:rPr>
      </w:pPr>
    </w:p>
    <w:p>
      <w:pPr>
        <w:pStyle w:val="2"/>
        <w:ind w:firstLine="883"/>
        <w:rPr>
          <w:b/>
          <w:color w:val="auto"/>
          <w:sz w:val="44"/>
          <w:szCs w:val="44"/>
        </w:rPr>
      </w:pPr>
    </w:p>
    <w:p>
      <w:pPr>
        <w:pStyle w:val="2"/>
        <w:ind w:firstLine="883"/>
        <w:rPr>
          <w:b/>
          <w:color w:val="auto"/>
          <w:sz w:val="44"/>
          <w:szCs w:val="44"/>
        </w:rPr>
      </w:pPr>
    </w:p>
    <w:p>
      <w:pPr>
        <w:widowControl w:val="0"/>
        <w:snapToGrid w:val="0"/>
        <w:spacing w:line="360" w:lineRule="auto"/>
        <w:ind w:firstLine="420"/>
        <w:jc w:val="center"/>
        <w:rPr>
          <w:b/>
          <w:sz w:val="44"/>
          <w:szCs w:val="44"/>
        </w:rPr>
      </w:pPr>
    </w:p>
    <w:p>
      <w:pPr>
        <w:widowControl w:val="0"/>
        <w:snapToGrid w:val="0"/>
        <w:spacing w:line="360" w:lineRule="auto"/>
        <w:ind w:firstLine="420"/>
        <w:jc w:val="center"/>
        <w:rPr>
          <w:rFonts w:ascii="方正大标宋简体" w:hAnsi="方正大标宋简体" w:eastAsia="方正大标宋简体" w:cs="方正大标宋简体"/>
          <w:b/>
          <w:sz w:val="44"/>
          <w:szCs w:val="44"/>
        </w:rPr>
      </w:pPr>
    </w:p>
    <w:p>
      <w:pPr>
        <w:widowControl w:val="0"/>
        <w:snapToGrid w:val="0"/>
        <w:ind w:firstLine="420"/>
        <w:jc w:val="center"/>
        <w:rPr>
          <w:rFonts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z w:val="44"/>
          <w:szCs w:val="44"/>
        </w:rPr>
        <w:t>琼海市国民经济和社会发展第十四个五年</w:t>
      </w:r>
    </w:p>
    <w:p>
      <w:pPr>
        <w:widowControl w:val="0"/>
        <w:snapToGrid w:val="0"/>
        <w:ind w:firstLine="420"/>
        <w:jc w:val="center"/>
        <w:rPr>
          <w:rFonts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z w:val="44"/>
          <w:szCs w:val="44"/>
        </w:rPr>
        <w:t>规划和二〇三五年远景目标纲要</w:t>
      </w:r>
    </w:p>
    <w:p>
      <w:pPr>
        <w:widowControl w:val="0"/>
        <w:snapToGrid w:val="0"/>
        <w:spacing w:line="360" w:lineRule="auto"/>
        <w:jc w:val="center"/>
        <w:rPr>
          <w:rFonts w:ascii="黑体" w:hAnsi="黑体" w:eastAsia="黑体" w:cs="Times New Roman"/>
          <w:bCs/>
          <w:sz w:val="32"/>
          <w:szCs w:val="32"/>
        </w:rPr>
      </w:pPr>
    </w:p>
    <w:p>
      <w:pPr>
        <w:widowControl w:val="0"/>
        <w:snapToGrid w:val="0"/>
        <w:spacing w:line="360" w:lineRule="auto"/>
        <w:jc w:val="center"/>
        <w:rPr>
          <w:rFonts w:ascii="黑体" w:hAnsi="黑体" w:eastAsia="黑体" w:cs="Times New Roman"/>
          <w:bCs/>
          <w:sz w:val="32"/>
          <w:szCs w:val="32"/>
        </w:rPr>
      </w:pPr>
    </w:p>
    <w:p>
      <w:pPr>
        <w:widowControl w:val="0"/>
        <w:snapToGrid w:val="0"/>
        <w:spacing w:line="360" w:lineRule="auto"/>
        <w:jc w:val="center"/>
        <w:rPr>
          <w:rFonts w:ascii="黑体" w:hAnsi="黑体" w:eastAsia="黑体" w:cs="Times New Roman"/>
          <w:bCs/>
          <w:sz w:val="32"/>
          <w:szCs w:val="32"/>
        </w:rPr>
      </w:pPr>
    </w:p>
    <w:p>
      <w:pPr>
        <w:widowControl w:val="0"/>
        <w:snapToGrid w:val="0"/>
        <w:spacing w:line="360" w:lineRule="auto"/>
        <w:jc w:val="center"/>
        <w:rPr>
          <w:rFonts w:ascii="黑体" w:hAnsi="黑体" w:eastAsia="黑体" w:cs="Times New Roman"/>
          <w:bCs/>
          <w:sz w:val="32"/>
          <w:szCs w:val="32"/>
        </w:rPr>
      </w:pPr>
    </w:p>
    <w:p>
      <w:pPr>
        <w:widowControl w:val="0"/>
        <w:snapToGrid w:val="0"/>
        <w:spacing w:line="360" w:lineRule="auto"/>
        <w:jc w:val="center"/>
        <w:rPr>
          <w:rFonts w:ascii="黑体" w:hAnsi="黑体" w:eastAsia="黑体" w:cs="Times New Roman"/>
          <w:bCs/>
          <w:sz w:val="32"/>
          <w:szCs w:val="32"/>
        </w:rPr>
      </w:pPr>
    </w:p>
    <w:p>
      <w:pPr>
        <w:widowControl w:val="0"/>
        <w:snapToGrid w:val="0"/>
        <w:spacing w:line="360" w:lineRule="auto"/>
        <w:jc w:val="center"/>
        <w:rPr>
          <w:rFonts w:ascii="黑体" w:hAnsi="黑体" w:eastAsia="黑体" w:cs="Times New Roman"/>
          <w:bCs/>
          <w:sz w:val="32"/>
          <w:szCs w:val="32"/>
        </w:rPr>
      </w:pPr>
    </w:p>
    <w:p>
      <w:pPr>
        <w:widowControl w:val="0"/>
        <w:snapToGrid w:val="0"/>
        <w:spacing w:line="360" w:lineRule="auto"/>
        <w:jc w:val="center"/>
        <w:rPr>
          <w:rFonts w:ascii="黑体" w:hAnsi="黑体" w:eastAsia="黑体" w:cs="Times New Roman"/>
          <w:bCs/>
          <w:sz w:val="32"/>
          <w:szCs w:val="32"/>
        </w:rPr>
      </w:pPr>
    </w:p>
    <w:p>
      <w:pPr>
        <w:widowControl w:val="0"/>
        <w:snapToGrid w:val="0"/>
        <w:spacing w:line="360" w:lineRule="auto"/>
        <w:jc w:val="center"/>
        <w:rPr>
          <w:rFonts w:ascii="黑体" w:hAnsi="黑体" w:eastAsia="黑体" w:cs="Times New Roman"/>
          <w:bCs/>
          <w:sz w:val="32"/>
          <w:szCs w:val="32"/>
        </w:rPr>
      </w:pPr>
    </w:p>
    <w:p>
      <w:pPr>
        <w:widowControl w:val="0"/>
        <w:snapToGrid w:val="0"/>
        <w:spacing w:line="360" w:lineRule="auto"/>
        <w:rPr>
          <w:rFonts w:ascii="黑体" w:hAnsi="黑体" w:eastAsia="黑体" w:cs="Times New Roman"/>
          <w:bCs/>
          <w:sz w:val="32"/>
          <w:szCs w:val="32"/>
        </w:rPr>
      </w:pPr>
    </w:p>
    <w:p>
      <w:pPr>
        <w:widowControl w:val="0"/>
        <w:snapToGrid w:val="0"/>
        <w:spacing w:line="360" w:lineRule="auto"/>
        <w:rPr>
          <w:rFonts w:ascii="黑体" w:hAnsi="黑体" w:eastAsia="黑体" w:cs="Times New Roman"/>
          <w:bCs/>
          <w:sz w:val="32"/>
          <w:szCs w:val="32"/>
        </w:rPr>
      </w:pPr>
    </w:p>
    <w:p>
      <w:pPr>
        <w:widowControl w:val="0"/>
        <w:snapToGrid w:val="0"/>
        <w:jc w:val="center"/>
        <w:rPr>
          <w:rFonts w:ascii="方正宋黑简体" w:hAnsi="方正宋黑简体" w:eastAsia="方正宋黑简体" w:cs="方正宋黑简体"/>
          <w:sz w:val="32"/>
          <w:szCs w:val="32"/>
        </w:rPr>
      </w:pPr>
    </w:p>
    <w:p>
      <w:pPr>
        <w:widowControl w:val="0"/>
        <w:snapToGrid w:val="0"/>
        <w:jc w:val="center"/>
        <w:rPr>
          <w:rFonts w:ascii="方正宋黑简体" w:hAnsi="方正宋黑简体" w:eastAsia="方正宋黑简体" w:cs="方正宋黑简体"/>
          <w:sz w:val="32"/>
          <w:szCs w:val="32"/>
        </w:rPr>
      </w:pPr>
    </w:p>
    <w:p>
      <w:pPr>
        <w:widowControl w:val="0"/>
        <w:snapToGrid w:val="0"/>
        <w:jc w:val="center"/>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2021年3月15日</w:t>
      </w:r>
    </w:p>
    <w:p>
      <w:pPr>
        <w:widowControl w:val="0"/>
        <w:snapToGrid w:val="0"/>
        <w:spacing w:line="360" w:lineRule="auto"/>
        <w:jc w:val="center"/>
        <w:rPr>
          <w:rFonts w:ascii="楷体" w:hAnsi="楷体" w:eastAsia="楷体" w:cs="楷体"/>
          <w:sz w:val="24"/>
          <w:szCs w:val="24"/>
        </w:rPr>
      </w:pPr>
    </w:p>
    <w:p>
      <w:pPr>
        <w:pStyle w:val="15"/>
        <w:widowControl w:val="0"/>
        <w:snapToGrid w:val="0"/>
        <w:spacing w:line="360" w:lineRule="auto"/>
        <w:rPr>
          <w:color w:val="auto"/>
        </w:rPr>
      </w:pPr>
    </w:p>
    <w:p>
      <w:pPr>
        <w:spacing w:line="560" w:lineRule="exact"/>
        <w:jc w:val="center"/>
        <w:rPr>
          <w:rFonts w:ascii="方正小标宋_GBK" w:eastAsia="方正小标宋_GBK"/>
          <w:sz w:val="44"/>
          <w:szCs w:val="44"/>
        </w:rPr>
      </w:pPr>
    </w:p>
    <w:p>
      <w:pPr>
        <w:spacing w:line="560" w:lineRule="exact"/>
        <w:jc w:val="center"/>
        <w:rPr>
          <w:rFonts w:ascii="方正小标宋_GBK" w:eastAsia="方正小标宋_GBK"/>
          <w:sz w:val="44"/>
          <w:szCs w:val="44"/>
        </w:rPr>
      </w:pPr>
    </w:p>
    <w:p>
      <w:pPr>
        <w:spacing w:line="560" w:lineRule="exact"/>
        <w:jc w:val="center"/>
        <w:rPr>
          <w:rFonts w:ascii="方正小标宋_GBK" w:eastAsia="方正小标宋_GBK"/>
          <w:sz w:val="44"/>
          <w:szCs w:val="44"/>
        </w:rPr>
      </w:pPr>
    </w:p>
    <w:p>
      <w:pPr>
        <w:spacing w:line="560" w:lineRule="exact"/>
        <w:jc w:val="center"/>
        <w:rPr>
          <w:rFonts w:ascii="方正小标宋_GBK" w:eastAsia="方正小标宋_GBK"/>
          <w:sz w:val="44"/>
          <w:szCs w:val="44"/>
        </w:rPr>
      </w:pPr>
    </w:p>
    <w:p>
      <w:pPr>
        <w:spacing w:line="560" w:lineRule="exact"/>
        <w:jc w:val="center"/>
        <w:rPr>
          <w:rFonts w:ascii="方正小标宋_GBK" w:eastAsia="方正小标宋_GBK"/>
          <w:sz w:val="44"/>
          <w:szCs w:val="44"/>
        </w:rPr>
      </w:pPr>
    </w:p>
    <w:p>
      <w:pPr>
        <w:spacing w:line="560" w:lineRule="exact"/>
        <w:jc w:val="center"/>
        <w:rPr>
          <w:rFonts w:ascii="方正小标宋_GBK" w:eastAsia="方正小标宋_GBK"/>
          <w:sz w:val="44"/>
          <w:szCs w:val="44"/>
        </w:rPr>
      </w:pPr>
    </w:p>
    <w:p>
      <w:pPr>
        <w:spacing w:line="560" w:lineRule="exact"/>
        <w:jc w:val="center"/>
        <w:rPr>
          <w:rFonts w:ascii="方正小标宋_GBK" w:eastAsia="方正小标宋_GBK"/>
          <w:sz w:val="44"/>
          <w:szCs w:val="44"/>
        </w:rPr>
      </w:pPr>
    </w:p>
    <w:p>
      <w:pPr>
        <w:spacing w:line="560" w:lineRule="exact"/>
        <w:jc w:val="center"/>
        <w:rPr>
          <w:rFonts w:ascii="方正小标宋_GBK" w:eastAsia="方正小标宋_GBK"/>
          <w:sz w:val="44"/>
          <w:szCs w:val="44"/>
        </w:rPr>
      </w:pPr>
    </w:p>
    <w:p>
      <w:pPr>
        <w:spacing w:line="560" w:lineRule="exact"/>
        <w:jc w:val="center"/>
        <w:rPr>
          <w:rFonts w:ascii="方正小标宋_GBK" w:eastAsia="方正小标宋_GBK"/>
          <w:sz w:val="44"/>
          <w:szCs w:val="44"/>
        </w:rPr>
      </w:pPr>
    </w:p>
    <w:p>
      <w:pPr>
        <w:spacing w:line="560" w:lineRule="exact"/>
        <w:jc w:val="center"/>
        <w:rPr>
          <w:rFonts w:ascii="方正小标宋_GBK" w:eastAsia="方正小标宋_GBK"/>
          <w:sz w:val="44"/>
          <w:szCs w:val="44"/>
        </w:rPr>
      </w:pPr>
    </w:p>
    <w:p>
      <w:pPr>
        <w:spacing w:line="560" w:lineRule="exact"/>
        <w:jc w:val="center"/>
        <w:rPr>
          <w:rFonts w:ascii="方正小标宋_GBK" w:eastAsia="方正小标宋_GBK"/>
          <w:sz w:val="44"/>
          <w:szCs w:val="44"/>
        </w:rPr>
      </w:pPr>
    </w:p>
    <w:p>
      <w:pPr>
        <w:spacing w:line="560" w:lineRule="exact"/>
        <w:jc w:val="center"/>
        <w:rPr>
          <w:rFonts w:ascii="方正小标宋_GBK" w:eastAsia="方正小标宋_GBK"/>
          <w:sz w:val="44"/>
          <w:szCs w:val="44"/>
        </w:rPr>
      </w:pPr>
    </w:p>
    <w:p>
      <w:pPr>
        <w:spacing w:line="560" w:lineRule="exact"/>
        <w:jc w:val="center"/>
        <w:rPr>
          <w:rFonts w:ascii="方正小标宋_GBK" w:eastAsia="方正小标宋_GBK"/>
          <w:sz w:val="44"/>
          <w:szCs w:val="44"/>
        </w:rPr>
      </w:pPr>
    </w:p>
    <w:p>
      <w:pPr>
        <w:spacing w:line="560" w:lineRule="exact"/>
        <w:jc w:val="center"/>
        <w:rPr>
          <w:rFonts w:ascii="方正小标宋_GBK" w:eastAsia="方正小标宋_GBK"/>
          <w:sz w:val="44"/>
          <w:szCs w:val="44"/>
        </w:rPr>
      </w:pPr>
    </w:p>
    <w:p>
      <w:pPr>
        <w:spacing w:line="560" w:lineRule="exact"/>
        <w:jc w:val="center"/>
        <w:rPr>
          <w:rFonts w:ascii="方正小标宋_GBK" w:eastAsia="方正小标宋_GBK"/>
          <w:sz w:val="44"/>
          <w:szCs w:val="44"/>
        </w:rPr>
      </w:pPr>
    </w:p>
    <w:p>
      <w:pPr>
        <w:spacing w:line="560" w:lineRule="exact"/>
        <w:jc w:val="center"/>
        <w:rPr>
          <w:rFonts w:ascii="方正小标宋_GBK" w:eastAsia="方正小标宋_GBK"/>
          <w:sz w:val="44"/>
          <w:szCs w:val="44"/>
        </w:rPr>
      </w:pPr>
    </w:p>
    <w:p>
      <w:pPr>
        <w:spacing w:line="560" w:lineRule="exact"/>
        <w:jc w:val="center"/>
        <w:rPr>
          <w:rFonts w:ascii="方正小标宋_GBK" w:eastAsia="方正小标宋_GBK"/>
          <w:sz w:val="44"/>
          <w:szCs w:val="44"/>
        </w:rPr>
      </w:pPr>
    </w:p>
    <w:p>
      <w:pPr>
        <w:spacing w:line="560" w:lineRule="exact"/>
        <w:jc w:val="center"/>
        <w:rPr>
          <w:rFonts w:ascii="方正小标宋_GBK" w:eastAsia="方正小标宋_GBK"/>
          <w:sz w:val="44"/>
          <w:szCs w:val="44"/>
        </w:rPr>
      </w:pPr>
    </w:p>
    <w:p>
      <w:pPr>
        <w:spacing w:line="560" w:lineRule="exact"/>
        <w:jc w:val="center"/>
        <w:rPr>
          <w:rFonts w:ascii="方正小标宋_GBK" w:eastAsia="方正小标宋_GBK"/>
          <w:sz w:val="44"/>
          <w:szCs w:val="44"/>
        </w:rPr>
      </w:pPr>
    </w:p>
    <w:p>
      <w:pPr>
        <w:spacing w:line="560" w:lineRule="exact"/>
        <w:jc w:val="center"/>
        <w:rPr>
          <w:rFonts w:ascii="方正小标宋_GBK" w:eastAsia="方正小标宋_GBK"/>
          <w:sz w:val="44"/>
          <w:szCs w:val="44"/>
        </w:rPr>
      </w:pPr>
    </w:p>
    <w:p>
      <w:pPr>
        <w:spacing w:line="560" w:lineRule="exact"/>
        <w:jc w:val="center"/>
        <w:rPr>
          <w:rFonts w:ascii="方正小标宋_GBK" w:eastAsia="方正小标宋_GBK"/>
          <w:sz w:val="44"/>
          <w:szCs w:val="44"/>
        </w:rPr>
      </w:pPr>
    </w:p>
    <w:p>
      <w:pPr>
        <w:spacing w:line="560" w:lineRule="exact"/>
        <w:jc w:val="center"/>
        <w:rPr>
          <w:rFonts w:ascii="方正小标宋_GBK" w:eastAsia="方正小标宋_GBK"/>
          <w:sz w:val="44"/>
          <w:szCs w:val="44"/>
        </w:rPr>
      </w:pPr>
    </w:p>
    <w:p>
      <w:pPr>
        <w:widowControl w:val="0"/>
        <w:snapToGrid w:val="0"/>
        <w:spacing w:line="360" w:lineRule="auto"/>
        <w:jc w:val="center"/>
        <w:rPr>
          <w:rFonts w:ascii="方正大标宋简体" w:hAnsi="方正大标宋简体" w:eastAsia="方正大标宋简体" w:cs="方正大标宋简体"/>
          <w:sz w:val="44"/>
          <w:szCs w:val="44"/>
        </w:rPr>
      </w:pPr>
    </w:p>
    <w:p>
      <w:pPr>
        <w:widowControl w:val="0"/>
        <w:snapToGrid w:val="0"/>
        <w:spacing w:line="360" w:lineRule="auto"/>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目 录</w:t>
      </w:r>
    </w:p>
    <w:p>
      <w:pPr>
        <w:widowControl w:val="0"/>
        <w:snapToGrid w:val="0"/>
        <w:spacing w:line="360" w:lineRule="auto"/>
      </w:pPr>
    </w:p>
    <w:p>
      <w:pPr>
        <w:pStyle w:val="9"/>
        <w:widowControl w:val="0"/>
        <w:tabs>
          <w:tab w:val="right" w:leader="dot" w:pos="8400"/>
        </w:tabs>
        <w:spacing w:line="420" w:lineRule="exact"/>
        <w:jc w:val="left"/>
        <w:rPr>
          <w:rFonts w:ascii="黑体" w:hAnsi="黑体" w:eastAsia="黑体"/>
          <w:b w:val="0"/>
        </w:rPr>
      </w:pPr>
      <w:bookmarkStart w:id="0" w:name="_Toc11593"/>
      <w:bookmarkStart w:id="1" w:name="_Toc17558"/>
      <w:bookmarkStart w:id="2" w:name="_Toc2264"/>
      <w:bookmarkStart w:id="3" w:name="_Toc17412"/>
      <w:bookmarkStart w:id="4" w:name="_Toc7988"/>
      <w:bookmarkStart w:id="5" w:name="_Toc31575"/>
      <w:bookmarkStart w:id="6" w:name="_Toc24356"/>
      <w:bookmarkStart w:id="7" w:name="_Toc11233"/>
      <w:bookmarkStart w:id="8" w:name="_Toc5082"/>
      <w:r>
        <w:rPr>
          <w:rFonts w:hint="eastAsia" w:ascii="黑体" w:hAnsi="黑体" w:eastAsia="黑体"/>
          <w:b w:val="0"/>
        </w:rPr>
        <w:t>序  言</w:t>
      </w:r>
      <w:r>
        <w:rPr>
          <w:rFonts w:hint="eastAsia" w:ascii="黑体" w:hAnsi="黑体" w:eastAsia="黑体"/>
          <w:b w:val="0"/>
        </w:rPr>
        <w:tab/>
      </w:r>
      <w:r>
        <w:rPr>
          <w:rFonts w:hint="eastAsia" w:ascii="黑体" w:hAnsi="黑体" w:eastAsia="黑体"/>
          <w:b w:val="0"/>
        </w:rPr>
        <w:t>1</w:t>
      </w:r>
    </w:p>
    <w:p>
      <w:pPr>
        <w:pStyle w:val="9"/>
        <w:widowControl w:val="0"/>
        <w:tabs>
          <w:tab w:val="right" w:leader="dot" w:pos="8400"/>
        </w:tabs>
        <w:spacing w:line="420" w:lineRule="exact"/>
        <w:jc w:val="left"/>
        <w:rPr>
          <w:rFonts w:ascii="黑体" w:hAnsi="黑体" w:eastAsia="黑体"/>
          <w:b w:val="0"/>
        </w:rPr>
      </w:pPr>
      <w:r>
        <w:rPr>
          <w:rFonts w:hint="eastAsia" w:ascii="黑体" w:hAnsi="黑体" w:eastAsia="黑体"/>
          <w:b w:val="0"/>
        </w:rPr>
        <w:t>第一章  海南东部中心城市建设基础不断夯实</w:t>
      </w:r>
      <w:r>
        <w:rPr>
          <w:rFonts w:hint="eastAsia" w:ascii="黑体" w:hAnsi="黑体" w:eastAsia="黑体"/>
          <w:b w:val="0"/>
        </w:rPr>
        <w:tab/>
      </w:r>
      <w:r>
        <w:rPr>
          <w:rFonts w:hint="eastAsia" w:ascii="黑体" w:hAnsi="黑体" w:eastAsia="黑体"/>
          <w:b w:val="0"/>
        </w:rPr>
        <w:t>2</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第一节  决胜全面建成小康社会取得决定性成效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第二节  面临的机遇和挑战</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8</w:t>
      </w:r>
    </w:p>
    <w:p>
      <w:pPr>
        <w:widowControl w:val="0"/>
        <w:tabs>
          <w:tab w:val="right" w:leader="dot" w:pos="8400"/>
        </w:tabs>
        <w:rPr>
          <w:rFonts w:ascii="黑体" w:hAnsi="黑体" w:eastAsia="黑体" w:cstheme="minorBidi"/>
          <w:sz w:val="32"/>
          <w:szCs w:val="32"/>
        </w:rPr>
      </w:pPr>
      <w:r>
        <w:rPr>
          <w:rFonts w:hint="eastAsia" w:ascii="黑体" w:hAnsi="黑体" w:eastAsia="黑体" w:cstheme="minorBidi"/>
          <w:sz w:val="32"/>
          <w:szCs w:val="32"/>
        </w:rPr>
        <w:t>第二章 “十四五”时期经济社会发展方向及总体要求</w:t>
      </w:r>
      <w:r>
        <w:rPr>
          <w:rFonts w:hint="eastAsia" w:ascii="黑体" w:hAnsi="黑体" w:eastAsia="黑体" w:cstheme="minorBidi"/>
          <w:sz w:val="32"/>
          <w:szCs w:val="32"/>
        </w:rPr>
        <w:tab/>
      </w:r>
      <w:r>
        <w:rPr>
          <w:rFonts w:hint="eastAsia" w:ascii="黑体" w:hAnsi="黑体" w:eastAsia="黑体" w:cstheme="minorBidi"/>
          <w:sz w:val="32"/>
          <w:szCs w:val="32"/>
        </w:rPr>
        <w:t>11</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第一节  指导思想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11</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第二节  基本原则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11</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第三节  战略导向</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12</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第四节  战略格局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14</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第五节  发展目标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15</w:t>
      </w:r>
    </w:p>
    <w:p>
      <w:pPr>
        <w:widowControl w:val="0"/>
        <w:tabs>
          <w:tab w:val="right" w:leader="dot" w:pos="8400"/>
        </w:tabs>
        <w:rPr>
          <w:rFonts w:ascii="黑体" w:hAnsi="黑体" w:eastAsia="黑体" w:cstheme="minorBidi"/>
          <w:sz w:val="32"/>
          <w:szCs w:val="32"/>
        </w:rPr>
      </w:pPr>
      <w:r>
        <w:rPr>
          <w:rFonts w:hint="eastAsia" w:ascii="黑体" w:hAnsi="黑体" w:eastAsia="黑体" w:cstheme="minorBidi"/>
          <w:sz w:val="32"/>
          <w:szCs w:val="32"/>
        </w:rPr>
        <w:t>第三章  争当海南自由贸易港建设示范标杆</w:t>
      </w:r>
      <w:r>
        <w:rPr>
          <w:rFonts w:hint="eastAsia" w:ascii="黑体" w:hAnsi="黑体" w:eastAsia="黑体" w:cstheme="minorBidi"/>
          <w:sz w:val="32"/>
          <w:szCs w:val="32"/>
        </w:rPr>
        <w:tab/>
      </w:r>
      <w:r>
        <w:rPr>
          <w:rFonts w:hint="eastAsia" w:ascii="黑体" w:hAnsi="黑体" w:eastAsia="黑体" w:cstheme="minorBidi"/>
          <w:sz w:val="32"/>
          <w:szCs w:val="32"/>
        </w:rPr>
        <w:t>20</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第一节  发展“零关税”产业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20</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第二节  推动贸易投资自由化便利化</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21</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第三节  加速推动要素自由流动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22</w:t>
      </w:r>
    </w:p>
    <w:p>
      <w:pPr>
        <w:widowControl w:val="0"/>
        <w:tabs>
          <w:tab w:val="right" w:leader="dot" w:pos="8400"/>
        </w:tabs>
        <w:rPr>
          <w:rFonts w:ascii="黑体" w:hAnsi="黑体" w:eastAsia="黑体" w:cstheme="minorBidi"/>
          <w:sz w:val="32"/>
          <w:szCs w:val="32"/>
        </w:rPr>
      </w:pPr>
      <w:r>
        <w:rPr>
          <w:rFonts w:hint="eastAsia" w:ascii="黑体" w:hAnsi="黑体" w:eastAsia="黑体" w:cstheme="minorBidi"/>
          <w:sz w:val="32"/>
          <w:szCs w:val="32"/>
        </w:rPr>
        <w:t>第四章  加快构建现代产业体系</w:t>
      </w:r>
      <w:r>
        <w:rPr>
          <w:rFonts w:hint="eastAsia" w:ascii="黑体" w:hAnsi="黑体" w:eastAsia="黑体" w:cstheme="minorBidi"/>
          <w:sz w:val="32"/>
          <w:szCs w:val="32"/>
        </w:rPr>
        <w:tab/>
      </w:r>
      <w:r>
        <w:rPr>
          <w:rFonts w:hint="eastAsia" w:ascii="黑体" w:hAnsi="黑体" w:eastAsia="黑体" w:cstheme="minorBidi"/>
          <w:sz w:val="32"/>
          <w:szCs w:val="32"/>
        </w:rPr>
        <w:t>25</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第一节  做强做优旅游消费产业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25</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第二节  发展壮大现代服务业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30</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第三节  培育发展高新技术产业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34</w:t>
      </w:r>
    </w:p>
    <w:p>
      <w:pPr>
        <w:widowControl w:val="0"/>
        <w:tabs>
          <w:tab w:val="right" w:leader="dot" w:pos="8400"/>
        </w:tabs>
        <w:rPr>
          <w:rFonts w:ascii="黑体" w:hAnsi="黑体" w:eastAsia="黑体" w:cstheme="minorBidi"/>
          <w:sz w:val="32"/>
          <w:szCs w:val="32"/>
        </w:rPr>
      </w:pPr>
      <w:r>
        <w:rPr>
          <w:rFonts w:hint="eastAsia" w:ascii="黑体" w:hAnsi="黑体" w:eastAsia="黑体" w:cstheme="minorBidi"/>
          <w:sz w:val="32"/>
          <w:szCs w:val="32"/>
        </w:rPr>
        <w:t>第五章  高质量推进重点产业园区建设</w:t>
      </w:r>
      <w:r>
        <w:rPr>
          <w:rFonts w:hint="eastAsia" w:ascii="黑体" w:hAnsi="黑体" w:eastAsia="黑体" w:cstheme="minorBidi"/>
          <w:sz w:val="32"/>
          <w:szCs w:val="32"/>
        </w:rPr>
        <w:tab/>
      </w:r>
      <w:r>
        <w:rPr>
          <w:rFonts w:hint="eastAsia" w:ascii="黑体" w:hAnsi="黑体" w:eastAsia="黑体" w:cstheme="minorBidi"/>
          <w:sz w:val="32"/>
          <w:szCs w:val="32"/>
        </w:rPr>
        <w:t>37</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第一节  全力推进博鳌乐城国际医疗旅游先行区建设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37</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第二节  高水平建设博鳌亚洲论坛特别规划区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41</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第三节  深入推进国家农业对外开放合作试验区建设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43</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第四节  推动博鳌临空经济区建设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45</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第五节  推进龙湾港临港经济区建设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47</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第六节  加强琼海国家级智能网联示范先导区建设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49</w:t>
      </w:r>
    </w:p>
    <w:p>
      <w:pPr>
        <w:widowControl w:val="0"/>
        <w:tabs>
          <w:tab w:val="right" w:leader="dot" w:pos="8400"/>
        </w:tabs>
        <w:jc w:val="left"/>
        <w:rPr>
          <w:rFonts w:eastAsia="仿宋_GB2312"/>
        </w:rPr>
      </w:pPr>
      <w:r>
        <w:rPr>
          <w:rFonts w:hint="eastAsia" w:ascii="仿宋_GB2312" w:hAnsi="仿宋_GB2312" w:eastAsia="仿宋_GB2312" w:cs="仿宋_GB2312"/>
          <w:sz w:val="32"/>
          <w:szCs w:val="32"/>
        </w:rPr>
        <w:t>第七节  推进大路绿色循环综合园区建设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51</w:t>
      </w:r>
    </w:p>
    <w:p>
      <w:pPr>
        <w:widowControl w:val="0"/>
        <w:tabs>
          <w:tab w:val="right" w:leader="dot" w:pos="8400"/>
        </w:tabs>
        <w:rPr>
          <w:rFonts w:ascii="黑体" w:hAnsi="黑体" w:eastAsia="黑体" w:cstheme="minorBidi"/>
          <w:sz w:val="32"/>
          <w:szCs w:val="32"/>
        </w:rPr>
      </w:pPr>
      <w:r>
        <w:rPr>
          <w:rFonts w:hint="eastAsia" w:ascii="黑体" w:hAnsi="黑体" w:eastAsia="黑体" w:cstheme="minorBidi"/>
          <w:sz w:val="32"/>
          <w:szCs w:val="32"/>
        </w:rPr>
        <w:t>第六章  高起点谋划和推进重点改革</w:t>
      </w:r>
      <w:r>
        <w:rPr>
          <w:rFonts w:hint="eastAsia" w:ascii="黑体" w:hAnsi="黑体" w:eastAsia="黑体" w:cstheme="minorBidi"/>
          <w:sz w:val="32"/>
          <w:szCs w:val="32"/>
        </w:rPr>
        <w:tab/>
      </w:r>
      <w:r>
        <w:rPr>
          <w:rFonts w:hint="eastAsia" w:ascii="黑体" w:hAnsi="黑体" w:eastAsia="黑体" w:cstheme="minorBidi"/>
          <w:sz w:val="32"/>
          <w:szCs w:val="32"/>
        </w:rPr>
        <w:t>53</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第一节  深化用地制度改革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53</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第二节  推进投融资体制改革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53</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第三节  推动产业园区管理体制机制改革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54</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第四节  优化营商环境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55</w:t>
      </w:r>
    </w:p>
    <w:p>
      <w:pPr>
        <w:widowControl w:val="0"/>
        <w:tabs>
          <w:tab w:val="right" w:leader="dot" w:pos="8400"/>
        </w:tabs>
        <w:rPr>
          <w:rFonts w:ascii="黑体" w:hAnsi="黑体" w:eastAsia="黑体" w:cstheme="minorBidi"/>
          <w:sz w:val="32"/>
          <w:szCs w:val="32"/>
        </w:rPr>
      </w:pPr>
      <w:r>
        <w:rPr>
          <w:rFonts w:hint="eastAsia" w:ascii="黑体" w:hAnsi="黑体" w:eastAsia="黑体" w:cstheme="minorBidi"/>
          <w:sz w:val="32"/>
          <w:szCs w:val="32"/>
        </w:rPr>
        <w:t>第七章  深入实施乡村振兴战略</w:t>
      </w:r>
      <w:r>
        <w:rPr>
          <w:rFonts w:hint="eastAsia" w:ascii="黑体" w:hAnsi="黑体" w:eastAsia="黑体" w:cstheme="minorBidi"/>
          <w:sz w:val="32"/>
          <w:szCs w:val="32"/>
        </w:rPr>
        <w:tab/>
      </w:r>
      <w:r>
        <w:rPr>
          <w:rFonts w:hint="eastAsia" w:ascii="黑体" w:hAnsi="黑体" w:eastAsia="黑体" w:cstheme="minorBidi"/>
          <w:sz w:val="32"/>
          <w:szCs w:val="32"/>
        </w:rPr>
        <w:t>57</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第一节  推进巩固脱贫攻坚成果同乡村振兴有效衔接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57</w:t>
      </w:r>
    </w:p>
    <w:p>
      <w:pPr>
        <w:widowControl w:val="0"/>
        <w:tabs>
          <w:tab w:val="right" w:leader="dot" w:pos="8400"/>
        </w:tabs>
        <w:jc w:val="left"/>
        <w:rPr>
          <w:rFonts w:eastAsia="仿宋_GB2312"/>
        </w:rPr>
      </w:pPr>
      <w:r>
        <w:rPr>
          <w:rFonts w:hint="eastAsia" w:ascii="仿宋_GB2312" w:hAnsi="仿宋_GB2312" w:eastAsia="仿宋_GB2312" w:cs="仿宋_GB2312"/>
          <w:sz w:val="32"/>
          <w:szCs w:val="32"/>
        </w:rPr>
        <w:t>第二节  持续深化农村改革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57</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第三节  做精做优热带高效农业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58</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第四节  实施乡村建设行动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60</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第五节  推进数字乡村试点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62</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第六节  提高乡村善治水平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62</w:t>
      </w:r>
    </w:p>
    <w:p>
      <w:pPr>
        <w:widowControl w:val="0"/>
        <w:tabs>
          <w:tab w:val="right" w:leader="dot" w:pos="8400"/>
        </w:tabs>
        <w:rPr>
          <w:rFonts w:ascii="黑体" w:hAnsi="黑体" w:eastAsia="黑体" w:cstheme="minorBidi"/>
          <w:sz w:val="32"/>
          <w:szCs w:val="32"/>
        </w:rPr>
      </w:pPr>
      <w:r>
        <w:rPr>
          <w:rFonts w:hint="eastAsia" w:ascii="黑体" w:hAnsi="黑体" w:eastAsia="黑体" w:cstheme="minorBidi"/>
          <w:sz w:val="32"/>
          <w:szCs w:val="32"/>
        </w:rPr>
        <w:t>第八章  提升海南“第四极”城镇化建设水平</w:t>
      </w:r>
      <w:r>
        <w:rPr>
          <w:rFonts w:hint="eastAsia" w:ascii="黑体" w:hAnsi="黑体" w:eastAsia="黑体" w:cstheme="minorBidi"/>
          <w:sz w:val="32"/>
          <w:szCs w:val="32"/>
        </w:rPr>
        <w:tab/>
      </w:r>
      <w:r>
        <w:rPr>
          <w:rFonts w:hint="eastAsia" w:ascii="黑体" w:hAnsi="黑体" w:eastAsia="黑体" w:cstheme="minorBidi"/>
          <w:sz w:val="32"/>
          <w:szCs w:val="32"/>
        </w:rPr>
        <w:t>63</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第一节  强化规划管控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63</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第二节  建设特色小镇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63</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第三节  加强城镇管理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66</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第四节  建设智慧城市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66</w:t>
      </w:r>
    </w:p>
    <w:p>
      <w:pPr>
        <w:widowControl w:val="0"/>
        <w:tabs>
          <w:tab w:val="right" w:leader="dot" w:pos="8400"/>
        </w:tabs>
        <w:jc w:val="left"/>
        <w:rPr>
          <w:rFonts w:ascii="黑体" w:hAnsi="黑体" w:eastAsia="黑体" w:cstheme="minorBidi"/>
          <w:sz w:val="32"/>
          <w:szCs w:val="32"/>
        </w:rPr>
      </w:pPr>
      <w:r>
        <w:rPr>
          <w:rFonts w:hint="eastAsia" w:ascii="黑体" w:hAnsi="黑体" w:eastAsia="黑体" w:cstheme="minorBidi"/>
          <w:sz w:val="32"/>
          <w:szCs w:val="32"/>
        </w:rPr>
        <w:t>第九章 持续深化“五网”基础设施建设</w:t>
      </w:r>
      <w:r>
        <w:rPr>
          <w:rFonts w:hint="eastAsia" w:ascii="黑体" w:hAnsi="黑体" w:eastAsia="黑体" w:cstheme="minorBidi"/>
          <w:sz w:val="32"/>
          <w:szCs w:val="32"/>
        </w:rPr>
        <w:tab/>
      </w:r>
      <w:r>
        <w:rPr>
          <w:rFonts w:hint="eastAsia" w:ascii="黑体" w:hAnsi="黑体" w:eastAsia="黑体" w:cstheme="minorBidi"/>
          <w:sz w:val="32"/>
          <w:szCs w:val="32"/>
        </w:rPr>
        <w:t>68</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第一节  构建通畅通达的交通网</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68</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第二节  构建功能完善的城市水网</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71</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第三节  构建稳定可靠的智能电网</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73</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第四节  构建覆盖城乡的供气管网</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75</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第五节  构建泛在先进的信息网</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76</w:t>
      </w:r>
    </w:p>
    <w:p>
      <w:pPr>
        <w:widowControl w:val="0"/>
        <w:tabs>
          <w:tab w:val="right" w:leader="dot" w:pos="8400"/>
        </w:tabs>
        <w:jc w:val="left"/>
        <w:rPr>
          <w:rFonts w:ascii="黑体" w:hAnsi="黑体" w:eastAsia="黑体" w:cstheme="minorBidi"/>
          <w:sz w:val="32"/>
          <w:szCs w:val="32"/>
        </w:rPr>
      </w:pPr>
      <w:r>
        <w:rPr>
          <w:rFonts w:hint="eastAsia" w:ascii="黑体" w:hAnsi="黑体" w:eastAsia="黑体" w:cstheme="minorBidi"/>
          <w:sz w:val="32"/>
          <w:szCs w:val="32"/>
        </w:rPr>
        <w:t>第十章 繁荣发展文化事业和文化产业</w:t>
      </w:r>
      <w:r>
        <w:rPr>
          <w:rFonts w:hint="eastAsia" w:ascii="黑体" w:hAnsi="黑体" w:eastAsia="黑体" w:cstheme="minorBidi"/>
          <w:sz w:val="32"/>
          <w:szCs w:val="32"/>
        </w:rPr>
        <w:tab/>
      </w:r>
      <w:r>
        <w:rPr>
          <w:rFonts w:hint="eastAsia" w:ascii="黑体" w:hAnsi="黑体" w:eastAsia="黑体" w:cstheme="minorBidi"/>
          <w:sz w:val="32"/>
          <w:szCs w:val="32"/>
        </w:rPr>
        <w:t>77</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第一节  不断提升社会文明水平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77</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第二节  构建现代公共文化服务体系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77</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第三节  推动文化产业繁荣发展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78</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第四节  加强国际文化交流</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79</w:t>
      </w:r>
    </w:p>
    <w:p>
      <w:pPr>
        <w:widowControl w:val="0"/>
        <w:tabs>
          <w:tab w:val="right" w:leader="dot" w:pos="8400"/>
        </w:tabs>
        <w:jc w:val="left"/>
        <w:rPr>
          <w:rFonts w:ascii="黑体" w:hAnsi="黑体" w:eastAsia="黑体" w:cstheme="minorBidi"/>
          <w:sz w:val="32"/>
          <w:szCs w:val="32"/>
        </w:rPr>
      </w:pPr>
      <w:r>
        <w:rPr>
          <w:rFonts w:hint="eastAsia" w:ascii="黑体" w:hAnsi="黑体" w:eastAsia="黑体" w:cstheme="minorBidi"/>
          <w:sz w:val="32"/>
          <w:szCs w:val="32"/>
        </w:rPr>
        <w:t>第十一章  坚定不移强化生态文明建设</w:t>
      </w:r>
      <w:r>
        <w:rPr>
          <w:rFonts w:hint="eastAsia" w:ascii="黑体" w:hAnsi="黑体" w:eastAsia="黑体" w:cstheme="minorBidi"/>
          <w:sz w:val="32"/>
          <w:szCs w:val="32"/>
        </w:rPr>
        <w:tab/>
      </w:r>
      <w:r>
        <w:rPr>
          <w:rFonts w:hint="eastAsia" w:ascii="黑体" w:hAnsi="黑体" w:eastAsia="黑体" w:cstheme="minorBidi"/>
          <w:sz w:val="32"/>
          <w:szCs w:val="32"/>
        </w:rPr>
        <w:t>81</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第一节  完善生态文明体系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81</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第二节  加强生态治理和保护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81</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第三节  提高资源节约集约利用水平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82</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第四节  构筑安全生态屏障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83</w:t>
      </w:r>
    </w:p>
    <w:p>
      <w:pPr>
        <w:widowControl w:val="0"/>
        <w:tabs>
          <w:tab w:val="right" w:leader="dot" w:pos="8400"/>
        </w:tabs>
        <w:jc w:val="left"/>
        <w:rPr>
          <w:rFonts w:ascii="黑体" w:hAnsi="黑体" w:eastAsia="黑体" w:cstheme="minorBidi"/>
          <w:sz w:val="32"/>
          <w:szCs w:val="32"/>
        </w:rPr>
      </w:pPr>
      <w:r>
        <w:rPr>
          <w:rFonts w:hint="eastAsia" w:ascii="黑体" w:hAnsi="黑体" w:eastAsia="黑体" w:cstheme="minorBidi"/>
          <w:sz w:val="32"/>
          <w:szCs w:val="32"/>
        </w:rPr>
        <w:t>第十二章  高水平推进基本公共服务均等化</w:t>
      </w:r>
      <w:r>
        <w:rPr>
          <w:rFonts w:hint="eastAsia" w:ascii="黑体" w:hAnsi="黑体" w:eastAsia="黑体" w:cstheme="minorBidi"/>
          <w:sz w:val="32"/>
          <w:szCs w:val="32"/>
        </w:rPr>
        <w:tab/>
      </w:r>
      <w:r>
        <w:rPr>
          <w:rFonts w:hint="eastAsia" w:ascii="黑体" w:hAnsi="黑体" w:eastAsia="黑体" w:cstheme="minorBidi"/>
          <w:sz w:val="32"/>
          <w:szCs w:val="32"/>
        </w:rPr>
        <w:t>85</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第一节  建设教育强市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85</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第二节  建设健康琼海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87</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第三节  建设和谐琼海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90</w:t>
      </w:r>
    </w:p>
    <w:p>
      <w:pPr>
        <w:widowControl w:val="0"/>
        <w:tabs>
          <w:tab w:val="right" w:leader="dot" w:pos="8400"/>
        </w:tabs>
        <w:jc w:val="left"/>
        <w:rPr>
          <w:rFonts w:ascii="黑体" w:hAnsi="黑体" w:eastAsia="黑体" w:cstheme="minorBidi"/>
          <w:sz w:val="32"/>
          <w:szCs w:val="32"/>
        </w:rPr>
      </w:pPr>
      <w:r>
        <w:rPr>
          <w:rFonts w:hint="eastAsia" w:ascii="黑体" w:hAnsi="黑体" w:eastAsia="黑体" w:cstheme="minorBidi"/>
          <w:sz w:val="32"/>
          <w:szCs w:val="32"/>
        </w:rPr>
        <w:t>第十三章  科学统筹发展和安全</w:t>
      </w:r>
      <w:r>
        <w:rPr>
          <w:rFonts w:hint="eastAsia" w:ascii="黑体" w:hAnsi="黑体" w:eastAsia="黑体" w:cstheme="minorBidi"/>
          <w:sz w:val="32"/>
          <w:szCs w:val="32"/>
        </w:rPr>
        <w:tab/>
      </w:r>
      <w:r>
        <w:rPr>
          <w:rFonts w:hint="eastAsia" w:ascii="黑体" w:hAnsi="黑体" w:eastAsia="黑体" w:cstheme="minorBidi"/>
          <w:sz w:val="32"/>
          <w:szCs w:val="32"/>
        </w:rPr>
        <w:t>95</w:t>
      </w:r>
    </w:p>
    <w:p>
      <w:pPr>
        <w:widowControl w:val="0"/>
        <w:tabs>
          <w:tab w:val="right" w:leader="dot" w:pos="8400"/>
        </w:tabs>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第一节  全面推动法治琼海建设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95</w:t>
      </w:r>
    </w:p>
    <w:p>
      <w:pPr>
        <w:widowControl w:val="0"/>
        <w:tabs>
          <w:tab w:val="right" w:leader="dot" w:pos="8400"/>
        </w:tabs>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第二节  深入推进平安琼海建设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95</w:t>
      </w:r>
    </w:p>
    <w:p>
      <w:pPr>
        <w:widowControl w:val="0"/>
        <w:numPr>
          <w:ilvl w:val="255"/>
          <w:numId w:val="0"/>
        </w:numPr>
        <w:tabs>
          <w:tab w:val="right" w:leader="dot" w:pos="8400"/>
        </w:tabs>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第三节  防范化解重大风险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97</w:t>
      </w:r>
    </w:p>
    <w:p>
      <w:pPr>
        <w:widowControl w:val="0"/>
        <w:tabs>
          <w:tab w:val="right" w:leader="dot" w:pos="8400"/>
        </w:tabs>
        <w:jc w:val="left"/>
        <w:rPr>
          <w:rFonts w:ascii="黑体" w:hAnsi="黑体" w:eastAsia="黑体" w:cstheme="minorBidi"/>
          <w:sz w:val="32"/>
          <w:szCs w:val="32"/>
        </w:rPr>
      </w:pPr>
      <w:r>
        <w:rPr>
          <w:rFonts w:hint="eastAsia" w:ascii="黑体" w:hAnsi="黑体" w:eastAsia="黑体" w:cstheme="minorBidi"/>
          <w:sz w:val="32"/>
          <w:szCs w:val="32"/>
        </w:rPr>
        <w:t>第十四章  强化规划实施保障</w:t>
      </w:r>
      <w:r>
        <w:rPr>
          <w:rFonts w:hint="eastAsia" w:ascii="黑体" w:hAnsi="黑体" w:eastAsia="黑体" w:cstheme="minorBidi"/>
          <w:sz w:val="32"/>
          <w:szCs w:val="32"/>
        </w:rPr>
        <w:tab/>
      </w:r>
      <w:r>
        <w:rPr>
          <w:rFonts w:hint="eastAsia" w:ascii="黑体" w:hAnsi="黑体" w:eastAsia="黑体" w:cstheme="minorBidi"/>
          <w:sz w:val="32"/>
          <w:szCs w:val="32"/>
        </w:rPr>
        <w:t>99</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第一节  发挥党的领导核心作用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99</w:t>
      </w:r>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第二节  强化组织实施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99</w:t>
      </w:r>
      <w:bookmarkStart w:id="629" w:name="_GoBack"/>
      <w:bookmarkEnd w:id="629"/>
    </w:p>
    <w:p>
      <w:pPr>
        <w:widowControl w:val="0"/>
        <w:tabs>
          <w:tab w:val="right" w:leader="dot" w:pos="8400"/>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第三节  加强监督评估考核</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100</w:t>
      </w:r>
    </w:p>
    <w:p>
      <w:pPr>
        <w:pStyle w:val="10"/>
        <w:widowControl w:val="0"/>
      </w:pPr>
    </w:p>
    <w:p>
      <w:pPr>
        <w:pStyle w:val="9"/>
        <w:widowControl w:val="0"/>
        <w:snapToGrid w:val="0"/>
        <w:spacing w:before="0" w:after="0" w:line="360" w:lineRule="auto"/>
        <w:rPr>
          <w:rFonts w:ascii="黑体" w:hAnsi="黑体" w:eastAsia="黑体" w:cs="黑体"/>
        </w:rPr>
      </w:pPr>
    </w:p>
    <w:p>
      <w:pPr>
        <w:pStyle w:val="9"/>
        <w:widowControl w:val="0"/>
        <w:snapToGrid w:val="0"/>
        <w:spacing w:before="0" w:after="0" w:line="360" w:lineRule="auto"/>
        <w:rPr>
          <w:rFonts w:ascii="黑体" w:hAnsi="黑体" w:eastAsia="黑体" w:cs="黑体"/>
        </w:rPr>
      </w:pPr>
    </w:p>
    <w:p>
      <w:pPr>
        <w:pStyle w:val="9"/>
        <w:widowControl w:val="0"/>
        <w:rPr>
          <w:rFonts w:ascii="黑体" w:hAnsi="黑体" w:eastAsia="黑体" w:cs="黑体"/>
        </w:rPr>
      </w:pPr>
    </w:p>
    <w:p>
      <w:pPr>
        <w:pStyle w:val="9"/>
        <w:widowControl w:val="0"/>
        <w:jc w:val="both"/>
        <w:rPr>
          <w:rFonts w:ascii="黑体" w:hAnsi="黑体" w:eastAsia="黑体" w:cs="黑体"/>
        </w:rPr>
      </w:pPr>
    </w:p>
    <w:p>
      <w:pPr>
        <w:pStyle w:val="9"/>
        <w:widowControl w:val="0"/>
        <w:rPr>
          <w:rFonts w:ascii="黑体" w:hAnsi="黑体" w:eastAsia="黑体" w:cs="黑体"/>
        </w:rPr>
        <w:sectPr>
          <w:headerReference r:id="rId3" w:type="default"/>
          <w:footerReference r:id="rId4" w:type="default"/>
          <w:pgSz w:w="11906" w:h="16838"/>
          <w:pgMar w:top="1587" w:right="1417" w:bottom="1417" w:left="1417" w:header="851" w:footer="992" w:gutter="0"/>
          <w:pgNumType w:start="1"/>
          <w:cols w:space="720" w:num="1"/>
          <w:docGrid w:type="lines" w:linePitch="312" w:charSpace="0"/>
        </w:sectPr>
      </w:pPr>
    </w:p>
    <w:p>
      <w:pPr>
        <w:widowControl w:val="0"/>
        <w:snapToGrid w:val="0"/>
        <w:spacing w:line="360" w:lineRule="auto"/>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序  言</w:t>
      </w:r>
      <w:bookmarkEnd w:id="0"/>
      <w:bookmarkEnd w:id="1"/>
      <w:bookmarkEnd w:id="2"/>
      <w:bookmarkEnd w:id="3"/>
      <w:bookmarkEnd w:id="4"/>
      <w:bookmarkEnd w:id="5"/>
      <w:bookmarkEnd w:id="6"/>
      <w:bookmarkEnd w:id="7"/>
      <w:bookmarkEnd w:id="8"/>
    </w:p>
    <w:p>
      <w:pPr>
        <w:widowControl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“十四五”（</w:t>
      </w:r>
      <w:r>
        <w:rPr>
          <w:rFonts w:ascii="仿宋_GB2312" w:hAnsi="仿宋_GB2312" w:eastAsia="仿宋_GB2312" w:cs="仿宋_GB2312"/>
          <w:sz w:val="32"/>
          <w:szCs w:val="32"/>
        </w:rPr>
        <w:t>2021～2025年）时期，是我国全面建成小康社会、实现第一个百年奋斗目标之后，乘势而上开启全面建设社会主义现代化国家新征程、向第二个百年</w:t>
      </w:r>
      <w:r>
        <w:rPr>
          <w:rFonts w:hint="eastAsia" w:ascii="仿宋_GB2312" w:hAnsi="仿宋_GB2312" w:eastAsia="仿宋_GB2312" w:cs="仿宋_GB2312"/>
          <w:sz w:val="32"/>
          <w:szCs w:val="32"/>
        </w:rPr>
        <w:t>奋斗目标进军的第一个五年；是海南高质量高标准建设中国特色自由贸易港的关键五年，是琼海迈向全面建设引领海南东部区域发展的现代化国际化中心城市、展现海南经济社会发展“第四极”建设成果的新时期。琼海必须发扬“敢闯敢试、敢为人先、埋头苦干”的特区精神和“扎根守土、坚韧不拔、无私奉献”的椰树精神，坚定走好以新发展理念引领高质量发展之路。</w:t>
      </w:r>
    </w:p>
    <w:p>
      <w:pPr>
        <w:widowControl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规划立足于建设海南自由贸易港大背景，阐明市委市政府的战略意图，集中体现全市人民的意志和愿望，是未来五年琼海融入自由贸易港建设的导航图，是全市经济社会发展的宏伟蓝图，是全市人民共同奋斗的行动纲领，更是全市各级各部门全面深化改革开放和推进发展的时间表、任务书、路线图和责任单。</w:t>
      </w:r>
    </w:p>
    <w:p>
      <w:pPr>
        <w:widowControl w:val="0"/>
        <w:spacing w:line="520" w:lineRule="exact"/>
        <w:ind w:firstLine="617" w:firstLineChars="193"/>
        <w:rPr>
          <w:rFonts w:ascii="仿宋_GB2312" w:hAnsi="仿宋_GB2312" w:eastAsia="仿宋_GB2312" w:cs="仿宋_GB2312"/>
          <w:sz w:val="32"/>
          <w:szCs w:val="32"/>
        </w:rPr>
      </w:pPr>
      <w:r>
        <w:rPr>
          <w:rFonts w:hint="eastAsia" w:ascii="仿宋_GB2312" w:hAnsi="仿宋_GB2312" w:eastAsia="仿宋_GB2312" w:cs="仿宋_GB2312"/>
          <w:sz w:val="32"/>
          <w:szCs w:val="32"/>
        </w:rPr>
        <w:t>本规划编制的主要依据是：习近平总书记在庆祝海南建省办经济特区</w:t>
      </w:r>
      <w:r>
        <w:rPr>
          <w:rFonts w:ascii="仿宋_GB2312" w:hAnsi="仿宋_GB2312" w:eastAsia="仿宋_GB2312" w:cs="仿宋_GB2312"/>
          <w:sz w:val="32"/>
          <w:szCs w:val="32"/>
        </w:rPr>
        <w:t xml:space="preserve">30 </w:t>
      </w:r>
      <w:r>
        <w:rPr>
          <w:rFonts w:hint="eastAsia" w:ascii="仿宋_GB2312" w:hAnsi="仿宋_GB2312" w:eastAsia="仿宋_GB2312" w:cs="仿宋_GB2312"/>
          <w:sz w:val="32"/>
          <w:szCs w:val="32"/>
        </w:rPr>
        <w:t>周年大会上的讲话（简称习总书记“4·13”</w:t>
      </w:r>
      <w:r>
        <w:rPr>
          <w:rFonts w:ascii="仿宋_GB2312" w:hAnsi="仿宋_GB2312" w:eastAsia="仿宋_GB2312" w:cs="仿宋_GB2312"/>
          <w:sz w:val="32"/>
          <w:szCs w:val="32"/>
        </w:rPr>
        <w:t>重要讲话）、《中共中央国务院关于支持海南全面深化改革开放的指导意见》（中发〔2018〕12号）、</w:t>
      </w:r>
      <w:r>
        <w:rPr>
          <w:rFonts w:hint="eastAsia" w:ascii="仿宋_GB2312" w:hAnsi="仿宋_GB2312" w:eastAsia="仿宋_GB2312" w:cs="仿宋_GB2312"/>
          <w:sz w:val="32"/>
          <w:szCs w:val="32"/>
        </w:rPr>
        <w:t>《中共中央关于制定国民经济和社会发展第十四个五年规划和二〇三五年远景目标的建议》、《海南自由贸易港建设总体方案》（中发〔</w:t>
      </w:r>
      <w:r>
        <w:rPr>
          <w:rFonts w:ascii="仿宋_GB2312" w:hAnsi="仿宋_GB2312" w:eastAsia="仿宋_GB2312" w:cs="仿宋_GB2312"/>
          <w:sz w:val="32"/>
          <w:szCs w:val="32"/>
        </w:rPr>
        <w:t>2020〕8号）、《中共海南省委关于制定国民经济和社会发展第十四个五年规划和二〇三五年远景目标的建议》</w:t>
      </w:r>
      <w:r>
        <w:rPr>
          <w:rFonts w:hint="eastAsia" w:ascii="仿宋_GB2312" w:hAnsi="仿宋_GB2312" w:eastAsia="仿宋_GB2312" w:cs="仿宋_GB2312"/>
          <w:sz w:val="32"/>
          <w:szCs w:val="32"/>
        </w:rPr>
        <w:t>和《中共琼海市委关于制定国民经济和社会发展第十四个五年规划和二○三五年远景目标的建议》</w:t>
      </w:r>
      <w:r>
        <w:rPr>
          <w:rFonts w:ascii="仿宋_GB2312" w:hAnsi="仿宋_GB2312" w:eastAsia="仿宋_GB2312" w:cs="仿宋_GB2312"/>
          <w:sz w:val="32"/>
          <w:szCs w:val="32"/>
        </w:rPr>
        <w:t>。</w:t>
      </w:r>
    </w:p>
    <w:p>
      <w:pPr>
        <w:pStyle w:val="9"/>
        <w:widowControl w:val="0"/>
        <w:spacing w:line="420" w:lineRule="exact"/>
        <w:jc w:val="both"/>
        <w:outlineLvl w:val="9"/>
        <w:rPr>
          <w:rFonts w:ascii="黑体" w:hAnsi="黑体" w:eastAsia="黑体"/>
        </w:rPr>
      </w:pPr>
      <w:bookmarkStart w:id="9" w:name="_Toc22774"/>
      <w:bookmarkStart w:id="10" w:name="_Toc27422"/>
      <w:bookmarkStart w:id="11" w:name="_Toc8992"/>
      <w:bookmarkStart w:id="12" w:name="_Toc10600"/>
      <w:bookmarkStart w:id="13" w:name="_Toc20747"/>
    </w:p>
    <w:p>
      <w:pPr>
        <w:pStyle w:val="9"/>
        <w:widowControl w:val="0"/>
        <w:spacing w:line="420" w:lineRule="exact"/>
        <w:rPr>
          <w:rFonts w:ascii="黑体" w:hAnsi="黑体" w:eastAsia="黑体"/>
          <w:bCs/>
        </w:rPr>
      </w:pPr>
      <w:bookmarkStart w:id="14" w:name="_Toc5065"/>
      <w:bookmarkStart w:id="15" w:name="_Toc25355"/>
      <w:bookmarkStart w:id="16" w:name="_Toc21834"/>
      <w:bookmarkStart w:id="17" w:name="_Toc9821"/>
      <w:r>
        <w:rPr>
          <w:rFonts w:hint="eastAsia" w:ascii="黑体" w:hAnsi="黑体" w:eastAsia="黑体"/>
          <w:bCs/>
        </w:rPr>
        <w:t>第一章</w:t>
      </w:r>
      <w:r>
        <w:rPr>
          <w:rFonts w:ascii="黑体" w:hAnsi="黑体" w:eastAsia="黑体"/>
          <w:bCs/>
        </w:rPr>
        <w:t xml:space="preserve">  </w:t>
      </w:r>
      <w:bookmarkEnd w:id="9"/>
      <w:bookmarkEnd w:id="10"/>
      <w:bookmarkEnd w:id="11"/>
      <w:bookmarkEnd w:id="12"/>
      <w:bookmarkEnd w:id="13"/>
      <w:bookmarkEnd w:id="14"/>
      <w:bookmarkEnd w:id="15"/>
      <w:bookmarkEnd w:id="16"/>
      <w:bookmarkEnd w:id="17"/>
      <w:r>
        <w:rPr>
          <w:rFonts w:hint="eastAsia" w:ascii="黑体" w:hAnsi="黑体" w:eastAsia="黑体"/>
          <w:bCs/>
        </w:rPr>
        <w:t>海南东部中心城市建设基础不断夯实</w:t>
      </w:r>
    </w:p>
    <w:p>
      <w:pPr>
        <w:pStyle w:val="9"/>
        <w:widowControl w:val="0"/>
        <w:spacing w:line="580" w:lineRule="exact"/>
        <w:outlineLvl w:val="1"/>
        <w:rPr>
          <w:rFonts w:ascii="楷体" w:hAnsi="楷体" w:eastAsia="楷体"/>
        </w:rPr>
      </w:pPr>
      <w:bookmarkStart w:id="18" w:name="_Toc22914"/>
      <w:bookmarkStart w:id="19" w:name="_Toc4241"/>
      <w:bookmarkStart w:id="20" w:name="_Toc29433"/>
      <w:bookmarkStart w:id="21" w:name="_Toc17277"/>
      <w:bookmarkStart w:id="22" w:name="_Toc5100"/>
      <w:bookmarkStart w:id="23" w:name="_Toc15729"/>
      <w:bookmarkStart w:id="24" w:name="_Toc18458"/>
      <w:bookmarkStart w:id="25" w:name="_Toc31463"/>
      <w:bookmarkStart w:id="26" w:name="_Toc15641"/>
      <w:r>
        <w:rPr>
          <w:rFonts w:hint="eastAsia" w:ascii="楷体" w:hAnsi="楷体" w:eastAsia="楷体"/>
        </w:rPr>
        <w:t>第一节</w:t>
      </w:r>
      <w:r>
        <w:rPr>
          <w:rFonts w:ascii="楷体" w:hAnsi="楷体" w:eastAsia="楷体"/>
        </w:rPr>
        <w:t xml:space="preserve">  </w:t>
      </w:r>
      <w:bookmarkEnd w:id="18"/>
      <w:bookmarkEnd w:id="19"/>
      <w:bookmarkEnd w:id="20"/>
      <w:bookmarkEnd w:id="21"/>
      <w:bookmarkEnd w:id="22"/>
      <w:bookmarkEnd w:id="23"/>
      <w:bookmarkEnd w:id="24"/>
      <w:r>
        <w:rPr>
          <w:rFonts w:hint="eastAsia" w:ascii="楷体" w:hAnsi="楷体" w:eastAsia="楷体"/>
        </w:rPr>
        <w:t>决胜全面建成小康社会取得决定性成效</w:t>
      </w:r>
      <w:bookmarkEnd w:id="25"/>
      <w:bookmarkEnd w:id="26"/>
      <w:r>
        <w:rPr>
          <w:rFonts w:ascii="楷体" w:hAnsi="楷体" w:eastAsia="楷体"/>
        </w:rPr>
        <w:tab/>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时期是全面建成小康社会决胜阶段，也是琼海市发展进程中具有里程碑意义的五年。面对国内外环境的复杂变化，琼海从国家大局、海南战略出发谋划自身发展，坚定不移贯彻落实习近平总书记关于海南工作的系列重要讲话、重要指示批示以及关于博鳌田园小镇、潭门渔业转产转型的重要批示精神，顺利完成历届博鳌亚洲论坛年会服务保障工作，成功应对新冠肺炎疫情冲击，以“一天当作三天用”的干劲和“干一件成一件”的韧劲，全力应对“三个大考”、答好“三张答卷”，以推进“三地两区一中心”战略作为琼海深度融入海南自由贸易港建设大局的主要思路和工作抓手，积极落实全面深化改革开放“1+N”政策体系，稳增长、调结构、转方式、惠民生取得重要进展，多项工作得到党中央和省委、省政府肯定，先后获评“全国文明城市”“国家卫生城市”等国家级荣誉称号，</w:t>
      </w:r>
      <w:r>
        <w:rPr>
          <w:rFonts w:ascii="仿宋_GB2312" w:hAnsi="仿宋_GB2312" w:eastAsia="仿宋_GB2312" w:cs="仿宋_GB2312"/>
          <w:sz w:val="32"/>
          <w:szCs w:val="32"/>
        </w:rPr>
        <w:t>连续三年入选“全国综合实力百强县市”</w:t>
      </w:r>
      <w:r>
        <w:rPr>
          <w:rFonts w:hint="eastAsia" w:ascii="仿宋_GB2312" w:hAnsi="仿宋_GB2312" w:eastAsia="仿宋_GB2312" w:cs="仿宋_GB2312"/>
          <w:sz w:val="32"/>
          <w:szCs w:val="32"/>
        </w:rPr>
        <w:t>，琼海作为海南“第四极”的地位和作用更加凸显，影响力进一步增强。“十三五”规划制定的主要目标和任务顺利完成，与全国同步迈入全面小康社会，为自由贸易港和海南“第四极”（东部中心城市）建设打下坚实基础。</w:t>
      </w:r>
    </w:p>
    <w:p>
      <w:pPr>
        <w:widowControl w:val="0"/>
        <w:spacing w:line="580" w:lineRule="exact"/>
        <w:ind w:firstLine="626" w:firstLineChars="195"/>
        <w:rPr>
          <w:rFonts w:ascii="仿宋_GB2312" w:hAnsi="仿宋_GB2312" w:eastAsia="仿宋_GB2312" w:cs="仿宋_GB2312"/>
          <w:bCs/>
          <w:sz w:val="32"/>
          <w:szCs w:val="32"/>
        </w:rPr>
      </w:pPr>
      <w:r>
        <w:rPr>
          <w:rFonts w:hint="eastAsia" w:ascii="楷体" w:hAnsi="楷体" w:eastAsia="楷体" w:cs="楷体"/>
          <w:b/>
          <w:sz w:val="32"/>
          <w:szCs w:val="32"/>
        </w:rPr>
        <w:t>经济高质量发展步伐稳健。</w:t>
      </w:r>
      <w:r>
        <w:rPr>
          <w:rFonts w:hint="eastAsia" w:ascii="仿宋_GB2312" w:hAnsi="仿宋_GB2312" w:eastAsia="仿宋_GB2312" w:cs="仿宋_GB2312"/>
          <w:bCs/>
          <w:sz w:val="32"/>
          <w:szCs w:val="32"/>
        </w:rPr>
        <w:t>锚定海南东部中心城市发展定位，奋力夺取疫情防控和经济社会发展双胜利。全市地区生产总值年均增长</w:t>
      </w:r>
      <w:r>
        <w:rPr>
          <w:rFonts w:ascii="仿宋_GB2312" w:hAnsi="仿宋_GB2312" w:eastAsia="仿宋_GB2312" w:cs="仿宋_GB2312"/>
          <w:bCs/>
          <w:sz w:val="32"/>
          <w:szCs w:val="32"/>
        </w:rPr>
        <w:t>5.</w:t>
      </w:r>
      <w:r>
        <w:rPr>
          <w:rFonts w:hint="eastAsia" w:ascii="仿宋_GB2312" w:hAnsi="仿宋_GB2312" w:eastAsia="仿宋_GB2312" w:cs="仿宋_GB2312"/>
          <w:bCs/>
          <w:sz w:val="32"/>
          <w:szCs w:val="32"/>
        </w:rPr>
        <w:t>3</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，提前</w:t>
      </w:r>
      <w:r>
        <w:rPr>
          <w:rFonts w:ascii="仿宋_GB2312" w:hAnsi="仿宋_GB2312" w:eastAsia="仿宋_GB2312" w:cs="仿宋_GB2312"/>
          <w:bCs/>
          <w:sz w:val="32"/>
          <w:szCs w:val="32"/>
        </w:rPr>
        <w:t>4年实现比2010年翻一番的小康目标。持续推进供给侧结构性改革，产业结构进一步优化，三次产业比重调整为32.</w:t>
      </w:r>
      <w:r>
        <w:rPr>
          <w:rFonts w:hint="eastAsia" w:ascii="仿宋_GB2312" w:hAnsi="仿宋_GB2312" w:eastAsia="仿宋_GB2312" w:cs="仿宋_GB2312"/>
          <w:bCs/>
          <w:sz w:val="32"/>
          <w:szCs w:val="32"/>
        </w:rPr>
        <w:t>4</w:t>
      </w:r>
      <w:r>
        <w:rPr>
          <w:rFonts w:ascii="仿宋_GB2312" w:hAnsi="仿宋_GB2312" w:eastAsia="仿宋_GB2312" w:cs="仿宋_GB2312"/>
          <w:bCs/>
          <w:sz w:val="32"/>
          <w:szCs w:val="32"/>
        </w:rPr>
        <w:t>:13.</w:t>
      </w:r>
      <w:r>
        <w:rPr>
          <w:rFonts w:hint="eastAsia" w:ascii="仿宋_GB2312" w:hAnsi="仿宋_GB2312" w:eastAsia="仿宋_GB2312" w:cs="仿宋_GB2312"/>
          <w:bCs/>
          <w:sz w:val="32"/>
          <w:szCs w:val="32"/>
        </w:rPr>
        <w:t>8</w:t>
      </w:r>
      <w:r>
        <w:rPr>
          <w:rFonts w:ascii="仿宋_GB2312" w:hAnsi="仿宋_GB2312" w:eastAsia="仿宋_GB2312" w:cs="仿宋_GB2312"/>
          <w:bCs/>
          <w:sz w:val="32"/>
          <w:szCs w:val="32"/>
        </w:rPr>
        <w:t>:53.</w:t>
      </w:r>
      <w:r>
        <w:rPr>
          <w:rFonts w:hint="eastAsia" w:ascii="仿宋_GB2312" w:hAnsi="仿宋_GB2312" w:eastAsia="仿宋_GB2312" w:cs="仿宋_GB2312"/>
          <w:bCs/>
          <w:sz w:val="32"/>
          <w:szCs w:val="32"/>
        </w:rPr>
        <w:t>8，</w:t>
      </w:r>
      <w:r>
        <w:rPr>
          <w:rFonts w:hint="eastAsia" w:ascii="Times New Roman" w:hAnsi="Times New Roman" w:eastAsia="仿宋_GB2312" w:cs="仿宋_GB2312"/>
          <w:bCs/>
          <w:sz w:val="32"/>
          <w:szCs w:val="32"/>
        </w:rPr>
        <w:t>初步构建起符合自由贸易港建设要求、彰显琼海特色的现代产业体系</w:t>
      </w:r>
      <w:r>
        <w:rPr>
          <w:rFonts w:hint="eastAsia" w:ascii="仿宋_GB2312" w:hAnsi="仿宋_GB2312" w:eastAsia="仿宋_GB2312" w:cs="仿宋_GB2312"/>
          <w:bCs/>
          <w:sz w:val="32"/>
          <w:szCs w:val="32"/>
        </w:rPr>
        <w:t>。三大主导产业和热带高效农业加速发展，以医疗健康产业为核心、全域旅游和会议会展等现代服务业为主导的特色产业体系更加鲜明，服务业增加值占地区生产总值的比重接近</w:t>
      </w:r>
      <w:r>
        <w:rPr>
          <w:rFonts w:ascii="仿宋_GB2312" w:hAnsi="仿宋_GB2312" w:eastAsia="仿宋_GB2312" w:cs="仿宋_GB2312"/>
          <w:bCs/>
          <w:sz w:val="32"/>
          <w:szCs w:val="32"/>
        </w:rPr>
        <w:t>54%。</w:t>
      </w:r>
      <w:r>
        <w:rPr>
          <w:rFonts w:hint="eastAsia" w:ascii="Times New Roman" w:hAnsi="Times New Roman" w:eastAsia="仿宋_GB2312" w:cs="仿宋_GB2312"/>
          <w:bCs/>
          <w:sz w:val="32"/>
          <w:szCs w:val="32"/>
        </w:rPr>
        <w:t>坚持“房住不炒”的定位，</w:t>
      </w:r>
      <w:r>
        <w:rPr>
          <w:rFonts w:hint="eastAsia" w:ascii="仿宋_GB2312" w:hAnsi="仿宋_GB2312" w:eastAsia="仿宋_GB2312" w:cs="仿宋_GB2312"/>
          <w:bCs/>
          <w:sz w:val="32"/>
          <w:szCs w:val="32"/>
        </w:rPr>
        <w:t>自我加压实施全岛最严的房地产限购政策，以壮士断腕的勇气斩断经济发展对房地产的依赖，非房地产投资占固定资产投资达到</w:t>
      </w:r>
      <w:r>
        <w:rPr>
          <w:rFonts w:ascii="仿宋_GB2312" w:hAnsi="仿宋_GB2312" w:eastAsia="仿宋_GB2312" w:cs="仿宋_GB2312"/>
          <w:bCs/>
          <w:sz w:val="32"/>
          <w:szCs w:val="32"/>
        </w:rPr>
        <w:t>55%</w:t>
      </w:r>
      <w:r>
        <w:rPr>
          <w:rFonts w:hint="eastAsia" w:ascii="仿宋_GB2312" w:hAnsi="仿宋_GB2312" w:eastAsia="仿宋_GB2312" w:cs="仿宋_GB2312"/>
          <w:bCs/>
          <w:sz w:val="32"/>
          <w:szCs w:val="32"/>
        </w:rPr>
        <w:t>，房地产税收占比降到53.7%，</w:t>
      </w:r>
      <w:r>
        <w:rPr>
          <w:rFonts w:hint="eastAsia" w:ascii="Times New Roman" w:hAnsi="Times New Roman" w:eastAsia="仿宋_GB2312" w:cs="仿宋_GB2312"/>
          <w:bCs/>
          <w:sz w:val="32"/>
          <w:szCs w:val="32"/>
        </w:rPr>
        <w:t>房地产业深度调整优化</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入选“2020年度中国营商环境百佳示范县市”，</w:t>
      </w:r>
      <w:r>
        <w:rPr>
          <w:rFonts w:hint="eastAsia" w:ascii="仿宋_GB2312" w:hAnsi="仿宋_GB2312" w:eastAsia="仿宋_GB2312" w:cs="仿宋_GB2312"/>
          <w:bCs/>
          <w:sz w:val="32"/>
          <w:szCs w:val="32"/>
        </w:rPr>
        <w:t>经济活力不断增强，“十三五”时期</w:t>
      </w:r>
      <w:r>
        <w:rPr>
          <w:rFonts w:hint="eastAsia" w:ascii="仿宋_GB2312" w:hAnsi="仿宋_GB2312" w:eastAsia="仿宋_GB2312" w:cs="仿宋_GB2312"/>
          <w:sz w:val="32"/>
          <w:szCs w:val="32"/>
        </w:rPr>
        <w:t>累计新增市场主体50084户。</w:t>
      </w:r>
    </w:p>
    <w:p>
      <w:pPr>
        <w:widowControl w:val="0"/>
        <w:spacing w:line="580" w:lineRule="exact"/>
        <w:ind w:firstLine="642" w:firstLineChars="200"/>
        <w:rPr>
          <w:rFonts w:ascii="仿宋_GB2312" w:hAnsi="仿宋_GB2312" w:eastAsia="仿宋_GB2312" w:cs="仿宋_GB2312"/>
          <w:sz w:val="32"/>
          <w:szCs w:val="32"/>
        </w:rPr>
      </w:pPr>
      <w:r>
        <w:rPr>
          <w:rFonts w:hint="eastAsia" w:ascii="楷体" w:hAnsi="楷体" w:eastAsia="楷体" w:cs="Times New Roman"/>
          <w:b/>
          <w:sz w:val="32"/>
          <w:szCs w:val="32"/>
        </w:rPr>
        <w:t>全面改革取得重大突破。</w:t>
      </w:r>
      <w:r>
        <w:rPr>
          <w:rFonts w:hint="eastAsia" w:ascii="仿宋_GB2312" w:hAnsi="仿宋_GB2312" w:eastAsia="仿宋_GB2312" w:cs="仿宋_GB2312"/>
          <w:bCs/>
          <w:sz w:val="32"/>
          <w:szCs w:val="32"/>
        </w:rPr>
        <w:t>深入贯彻落实“1+N”政策体系，改革全面发力、多点突破、蹄疾步稳。加快政府职能转变</w:t>
      </w:r>
      <w:r>
        <w:rPr>
          <w:rFonts w:hint="eastAsia" w:ascii="仿宋_GB2312" w:hAnsi="仿宋_GB2312" w:eastAsia="仿宋_GB2312" w:cs="仿宋_GB2312"/>
          <w:sz w:val="32"/>
          <w:szCs w:val="32"/>
        </w:rPr>
        <w:t>，推进关键领域和重点环节改革、贸易投资自由化便利化、营造一流营商环境等方面取得新成果新进展。“多规合一”改革成效显著，市镇村三级规划全部编制完成，博鳌亚洲论坛特别规划区等重点园区规划顺利获批。推动行政审批制度改革,正式启动“一枚公章管审批”。深化综合执法体制改革，全面实行“一支队伍管执法”。有序推进行政复议体制机制改革，基本实现“一个机构管复议”。“不见面审批”事项总数占比达92%，“互联网+监管”系统建设覆盖率为93.33%，实现商事主体自主申报、全程电子化登记和营业执照全岛通办，企业开办时间压缩至2个工作日。整合32项“多证合一”登记事项，建立公共资源交易中心并正式投入运行。简化商事主体申请、注销文书材料和流程，实现“一窗申请、一网通办”服务。博鳌乐城国际医疗旅游先行区各项改革举措居全省前列，率先完成法定机构性质改革，实现管理职能全面移交，管理机制不断优化，成为落实海南自由贸易港建设早期安排和大健康产业发展的重要载体。落实“极简审批”六个试行改革措施，园区项目落地审批时限提速6.4倍。推出国内首款境内外特种药品费用补偿型医疗保险，开展临床真实世界数据应用试点，通过制度集成创新推动园区高质量发展。博鳌乐城国际医疗旅游先行区已有超过14家医疗机构开业运营，引进国内外院士专家团队51个，初步实现医疗技术、装备、药品与国际先进水平“三同步”。2018年4月11日，习近平总书记亲自视察先行区并给予高度肯定。</w:t>
      </w:r>
    </w:p>
    <w:p>
      <w:pPr>
        <w:widowControl w:val="0"/>
        <w:snapToGrid w:val="0"/>
        <w:spacing w:line="620" w:lineRule="exact"/>
        <w:ind w:firstLine="642" w:firstLineChars="200"/>
        <w:rPr>
          <w:rFonts w:ascii="仿宋_GB2312" w:hAnsi="仿宋_GB2312" w:eastAsia="仿宋_GB2312" w:cs="仿宋_GB2312"/>
          <w:sz w:val="32"/>
          <w:szCs w:val="32"/>
        </w:rPr>
      </w:pPr>
      <w:r>
        <w:rPr>
          <w:rFonts w:hint="eastAsia" w:ascii="楷体" w:hAnsi="楷体" w:eastAsia="楷体" w:cs="Times New Roman"/>
          <w:b/>
          <w:sz w:val="32"/>
          <w:szCs w:val="32"/>
        </w:rPr>
        <w:t>对外开放水平进一步提高。</w:t>
      </w:r>
      <w:r>
        <w:rPr>
          <w:rFonts w:hint="eastAsia" w:ascii="仿宋_GB2312" w:hAnsi="仿宋_GB2312" w:eastAsia="仿宋_GB2312" w:cs="仿宋_GB2312"/>
          <w:sz w:val="32"/>
          <w:szCs w:val="32"/>
        </w:rPr>
        <w:t>深入贯彻落实习近平总书记系列指示批示精神，在博鳌地区努力营造“非正式、舒适、和谐”的会议氛围，精益求精打造的“美丽乡村会客厅”政商对话新平台受国内外一致好评，博鳌亚洲论坛国际影响力不断增强。博鳌乐城国际医疗旅游先行区与强生、美敦力等60多家全球知名药企建立深度合作关系，与以色列卫生部达成合作意向，韩国</w:t>
      </w:r>
      <w:r>
        <w:rPr>
          <w:rFonts w:ascii="仿宋_GB2312" w:hAnsi="仿宋_GB2312" w:eastAsia="仿宋_GB2312" w:cs="仿宋_GB2312"/>
          <w:sz w:val="32"/>
          <w:szCs w:val="32"/>
        </w:rPr>
        <w:t>JK整形外科医院已正式开业，</w:t>
      </w:r>
      <w:r>
        <w:rPr>
          <w:rFonts w:hint="eastAsia" w:ascii="仿宋_GB2312" w:hAnsi="仿宋_GB2312" w:eastAsia="仿宋_GB2312" w:cs="仿宋_GB2312"/>
          <w:sz w:val="32"/>
          <w:szCs w:val="32"/>
        </w:rPr>
        <w:t>新加坡亚洲美安医疗集团落地运营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博鳌机场国际口岸开放正式获批，博鳌机场海关正式揭牌运行，为更高水平对外开放注入新活力。</w:t>
      </w:r>
      <w:r>
        <w:rPr>
          <w:rFonts w:ascii="仿宋_GB2312" w:hAnsi="仿宋_GB2312" w:eastAsia="仿宋_GB2312" w:cs="仿宋_GB2312"/>
          <w:sz w:val="32"/>
          <w:szCs w:val="32"/>
        </w:rPr>
        <w:t>琼海农业对外开放合作试验区建设</w:t>
      </w:r>
      <w:r>
        <w:rPr>
          <w:rFonts w:hint="eastAsia" w:ascii="仿宋_GB2312" w:hAnsi="仿宋_GB2312" w:eastAsia="仿宋_GB2312" w:cs="仿宋_GB2312"/>
          <w:sz w:val="32"/>
          <w:szCs w:val="32"/>
        </w:rPr>
        <w:t>初显成效，对外合作交流持续深化</w:t>
      </w:r>
      <w:r>
        <w:rPr>
          <w:rFonts w:ascii="仿宋_GB2312" w:hAnsi="仿宋_GB2312" w:eastAsia="仿宋_GB2312" w:cs="仿宋_GB2312"/>
          <w:sz w:val="32"/>
          <w:szCs w:val="32"/>
        </w:rPr>
        <w:t>，4家农业跨国企业牵头在柬埔寨、菲律宾等国家创建农业产业园区</w:t>
      </w:r>
      <w:r>
        <w:rPr>
          <w:rFonts w:hint="eastAsia" w:ascii="仿宋_GB2312" w:hAnsi="仿宋_GB2312" w:eastAsia="仿宋_GB2312" w:cs="仿宋_GB2312"/>
          <w:sz w:val="32"/>
          <w:szCs w:val="32"/>
        </w:rPr>
        <w:t>，“世界热带水果之窗”累计引进世界名优热带水果400余种，成功试种培育100余种，完成种苗繁育推广250多万株，在海南省内推广示范种植优新水果品种达2000亩，为“走出去”企业在老挝、柬埔寨、越南等“一带一路”国家水果新品种种植提供技术服务支持。“十三五”期间累计利用外资1.75亿美元，外贸进出口总值达6196.41万美元。</w:t>
      </w:r>
    </w:p>
    <w:p>
      <w:pPr>
        <w:pStyle w:val="3"/>
        <w:widowControl w:val="0"/>
        <w:spacing w:line="560" w:lineRule="exact"/>
        <w:ind w:firstLine="626" w:firstLineChars="195"/>
        <w:rPr>
          <w:rFonts w:ascii="仿宋_GB2312" w:hAnsi="仿宋_GB2312" w:eastAsia="仿宋_GB2312" w:cs="仿宋_GB2312"/>
          <w:sz w:val="32"/>
          <w:szCs w:val="32"/>
        </w:rPr>
      </w:pPr>
      <w:r>
        <w:rPr>
          <w:rFonts w:hint="eastAsia" w:ascii="楷体" w:hAnsi="楷体" w:eastAsia="楷体" w:cs="Times New Roman"/>
          <w:b/>
          <w:sz w:val="32"/>
          <w:szCs w:val="32"/>
        </w:rPr>
        <w:t>优势特色产业培育壮大。</w:t>
      </w:r>
      <w:r>
        <w:rPr>
          <w:rFonts w:hint="eastAsia" w:ascii="仿宋_GB2312" w:hAnsi="仿宋_GB2312" w:eastAsia="仿宋_GB2312" w:cs="仿宋_GB2312"/>
          <w:bCs/>
          <w:sz w:val="32"/>
          <w:szCs w:val="32"/>
        </w:rPr>
        <w:t>旅游产业优化升级，成功创建4A级景区1家、3A级景区2家及4个五椰级和1个四椰级乡村旅游点，</w:t>
      </w:r>
      <w:r>
        <w:rPr>
          <w:rFonts w:hint="eastAsia" w:ascii="仿宋_GB2312" w:hAnsi="仿宋_GB2312" w:eastAsia="仿宋_GB2312" w:cs="仿宋_GB2312"/>
          <w:sz w:val="32"/>
          <w:szCs w:val="32"/>
        </w:rPr>
        <w:t>中国（海南）南海博物馆核定为国家一级博物馆，全域旅游吸引力不断增强。会议会展持续火爆，西普会、博鳌企业家论坛、美丽乡村博鳌国际峰会等46</w:t>
      </w:r>
      <w:r>
        <w:rPr>
          <w:rFonts w:ascii="仿宋_GB2312" w:hAnsi="仿宋_GB2312" w:eastAsia="仿宋_GB2312" w:cs="仿宋_GB2312"/>
          <w:sz w:val="32"/>
          <w:szCs w:val="32"/>
        </w:rPr>
        <w:t>个</w:t>
      </w:r>
      <w:r>
        <w:rPr>
          <w:rFonts w:hint="eastAsia" w:ascii="仿宋_GB2312" w:hAnsi="仿宋_GB2312" w:eastAsia="仿宋_GB2312" w:cs="仿宋_GB2312"/>
          <w:sz w:val="32"/>
          <w:szCs w:val="32"/>
        </w:rPr>
        <w:t>大型会议在博鳌定期定址召开。博鳌乐城国际医疗旅游先行区品牌效应凸显，进口特许药械品种首例突破120</w:t>
      </w:r>
      <w:r>
        <w:rPr>
          <w:rFonts w:ascii="仿宋_GB2312" w:hAnsi="仿宋_GB2312" w:eastAsia="仿宋_GB2312" w:cs="仿宋_GB2312"/>
          <w:sz w:val="32"/>
          <w:szCs w:val="32"/>
        </w:rPr>
        <w:t>例</w:t>
      </w:r>
      <w:r>
        <w:rPr>
          <w:rFonts w:hint="eastAsia" w:ascii="仿宋_GB2312" w:hAnsi="仿宋_GB2312" w:eastAsia="仿宋_GB2312" w:cs="仿宋_GB2312"/>
          <w:sz w:val="32"/>
          <w:szCs w:val="32"/>
        </w:rPr>
        <w:t>，抗肿瘤新药、罕见病药实现了从</w:t>
      </w:r>
      <w:r>
        <w:rPr>
          <w:rFonts w:ascii="仿宋_GB2312" w:hAnsi="仿宋_GB2312" w:eastAsia="仿宋_GB2312" w:cs="仿宋_GB2312"/>
          <w:sz w:val="32"/>
          <w:szCs w:val="32"/>
        </w:rPr>
        <w:t>0到100的突破，成功举办“永不落幕”国际创新药械展，</w:t>
      </w:r>
      <w:r>
        <w:rPr>
          <w:rFonts w:hint="eastAsia" w:ascii="仿宋_GB2312" w:hAnsi="仿宋_GB2312" w:eastAsia="仿宋_GB2312" w:cs="仿宋_GB2312"/>
          <w:sz w:val="32"/>
          <w:szCs w:val="32"/>
        </w:rPr>
        <w:t>超过</w:t>
      </w:r>
      <w:r>
        <w:rPr>
          <w:rFonts w:ascii="仿宋_GB2312" w:hAnsi="仿宋_GB2312" w:eastAsia="仿宋_GB2312" w:cs="仿宋_GB2312"/>
          <w:sz w:val="32"/>
          <w:szCs w:val="32"/>
        </w:rPr>
        <w:t>300种未在国内上市的创新药械在先行区常年展出。博鳌离岛免税店</w:t>
      </w:r>
      <w:r>
        <w:rPr>
          <w:rFonts w:hint="eastAsia" w:ascii="仿宋_GB2312" w:hAnsi="仿宋_GB2312" w:eastAsia="仿宋_GB2312" w:cs="仿宋_GB2312"/>
          <w:sz w:val="32"/>
          <w:szCs w:val="32"/>
        </w:rPr>
        <w:t>正式</w:t>
      </w:r>
      <w:r>
        <w:rPr>
          <w:rFonts w:ascii="仿宋_GB2312" w:hAnsi="仿宋_GB2312" w:eastAsia="仿宋_GB2312" w:cs="仿宋_GB2312"/>
          <w:sz w:val="32"/>
          <w:szCs w:val="32"/>
        </w:rPr>
        <w:t>开门营业</w:t>
      </w:r>
      <w:r>
        <w:rPr>
          <w:rFonts w:hint="eastAsia" w:ascii="仿宋_GB2312" w:hAnsi="仿宋_GB2312" w:eastAsia="仿宋_GB2312" w:cs="仿宋_GB2312"/>
          <w:sz w:val="32"/>
          <w:szCs w:val="32"/>
        </w:rPr>
        <w:t>，离岛免税购物、落地免签等政策集成效应不断放大，企业所得税、个人所得税优惠和原辅料“零关税”等政策逐步落地。</w:t>
      </w:r>
      <w:r>
        <w:rPr>
          <w:rFonts w:ascii="仿宋_GB2312" w:hAnsi="仿宋_GB2312" w:eastAsia="仿宋_GB2312" w:cs="仿宋_GB2312"/>
          <w:sz w:val="32"/>
          <w:szCs w:val="32"/>
        </w:rPr>
        <w:t>热带</w:t>
      </w:r>
      <w:r>
        <w:rPr>
          <w:rFonts w:hint="eastAsia" w:ascii="仿宋_GB2312" w:hAnsi="仿宋_GB2312" w:eastAsia="仿宋_GB2312" w:cs="仿宋_GB2312"/>
          <w:sz w:val="32"/>
          <w:szCs w:val="32"/>
        </w:rPr>
        <w:t>高效</w:t>
      </w:r>
      <w:r>
        <w:rPr>
          <w:rFonts w:ascii="仿宋_GB2312" w:hAnsi="仿宋_GB2312" w:eastAsia="仿宋_GB2312" w:cs="仿宋_GB2312"/>
          <w:sz w:val="32"/>
          <w:szCs w:val="32"/>
        </w:rPr>
        <w:t>农业发展质量进一步提升，粮食、瓜菜水果、热作种植面积稳步增长，“三品一标”农产品</w:t>
      </w:r>
      <w:r>
        <w:rPr>
          <w:rFonts w:hint="eastAsia" w:ascii="仿宋_GB2312" w:hAnsi="仿宋_GB2312" w:eastAsia="仿宋_GB2312" w:cs="仿宋_GB2312"/>
          <w:sz w:val="32"/>
          <w:szCs w:val="32"/>
        </w:rPr>
        <w:t>认证累计达19</w:t>
      </w:r>
      <w:r>
        <w:rPr>
          <w:rFonts w:ascii="仿宋_GB2312" w:hAnsi="仿宋_GB2312" w:eastAsia="仿宋_GB2312" w:cs="仿宋_GB2312"/>
          <w:sz w:val="32"/>
          <w:szCs w:val="32"/>
        </w:rPr>
        <w:t>个</w:t>
      </w:r>
      <w:r>
        <w:rPr>
          <w:rFonts w:hint="eastAsia" w:ascii="仿宋_GB2312" w:hAnsi="仿宋_GB2312" w:eastAsia="仿宋_GB2312" w:cs="仿宋_GB2312"/>
          <w:sz w:val="32"/>
          <w:szCs w:val="32"/>
        </w:rPr>
        <w:t>。在全省率先探索推动休闲渔业起步发展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渔业转产转型取得突破</w:t>
      </w:r>
      <w:r>
        <w:rPr>
          <w:rFonts w:ascii="仿宋_GB2312" w:hAnsi="仿宋_GB2312" w:eastAsia="仿宋_GB2312" w:cs="仿宋_GB2312"/>
          <w:sz w:val="32"/>
          <w:szCs w:val="32"/>
        </w:rPr>
        <w:t>。互联网产业迅速发展，</w:t>
      </w:r>
      <w:r>
        <w:rPr>
          <w:rFonts w:hint="eastAsia" w:ascii="仿宋_GB2312" w:hAnsi="仿宋_GB2312" w:eastAsia="仿宋_GB2312" w:cs="仿宋_GB2312"/>
          <w:sz w:val="32"/>
          <w:szCs w:val="32"/>
        </w:rPr>
        <w:t>通过省互联网企业平台注册互联网企业45家，</w:t>
      </w:r>
      <w:r>
        <w:rPr>
          <w:rFonts w:ascii="仿宋_GB2312" w:hAnsi="仿宋_GB2312" w:eastAsia="仿宋_GB2312" w:cs="仿宋_GB2312"/>
          <w:sz w:val="32"/>
          <w:szCs w:val="32"/>
        </w:rPr>
        <w:t>建</w:t>
      </w:r>
      <w:r>
        <w:rPr>
          <w:rFonts w:hint="eastAsia" w:ascii="仿宋_GB2312" w:hAnsi="仿宋_GB2312" w:eastAsia="仿宋_GB2312" w:cs="仿宋_GB2312"/>
          <w:sz w:val="32"/>
          <w:szCs w:val="32"/>
        </w:rPr>
        <w:t>成</w:t>
      </w:r>
      <w:r>
        <w:rPr>
          <w:rFonts w:ascii="仿宋_GB2312" w:hAnsi="仿宋_GB2312" w:eastAsia="仿宋_GB2312" w:cs="仿宋_GB2312"/>
          <w:sz w:val="32"/>
          <w:szCs w:val="32"/>
        </w:rPr>
        <w:t>互联网农业小镇3个</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农村淘宝网站(店)63家。</w:t>
      </w:r>
      <w:r>
        <w:rPr>
          <w:rFonts w:hint="eastAsia" w:ascii="仿宋_GB2312" w:hAnsi="仿宋_GB2312" w:eastAsia="仿宋_GB2312" w:cs="仿宋_GB2312"/>
          <w:sz w:val="32"/>
          <w:szCs w:val="32"/>
        </w:rPr>
        <w:t>新型金融业步入快车道，博鳌基金开放创新基地累计注册24家基金企业，注册资本39.8亿元。</w:t>
      </w:r>
    </w:p>
    <w:p>
      <w:pPr>
        <w:widowControl w:val="0"/>
        <w:spacing w:line="580" w:lineRule="exact"/>
        <w:ind w:firstLine="642" w:firstLineChars="200"/>
        <w:rPr>
          <w:rFonts w:ascii="仿宋_GB2312" w:hAnsi="仿宋_GB2312" w:eastAsia="仿宋_GB2312" w:cs="仿宋_GB2312"/>
          <w:b/>
          <w:sz w:val="32"/>
          <w:szCs w:val="32"/>
        </w:rPr>
      </w:pPr>
      <w:r>
        <w:rPr>
          <w:rFonts w:hint="eastAsia" w:ascii="楷体" w:hAnsi="楷体" w:eastAsia="楷体" w:cs="Times New Roman"/>
          <w:b/>
          <w:sz w:val="32"/>
          <w:szCs w:val="32"/>
        </w:rPr>
        <w:t>城乡建设水平全面提升。</w:t>
      </w:r>
      <w:r>
        <w:rPr>
          <w:rFonts w:hint="eastAsia" w:ascii="仿宋_GB2312" w:hAnsi="仿宋_GB2312" w:eastAsia="仿宋_GB2312" w:cs="仿宋_GB2312"/>
          <w:sz w:val="32"/>
          <w:szCs w:val="32"/>
        </w:rPr>
        <w:t>博鳌机场二期工程、博鳌海底隧道顺利竣工运营。博鳌机场实现常态化运营，共开通国内重点城市航线78条，成为国内首个开通“北上广深”等重点一线城市定期航线的县级机场。文琼高速和万洋高速琼海段顺利通车，环岛旅游公路博鳌段投入使用，“农村公路六大工程”顺利推进，获评“‘四好农村路’全国示范县”，路网密度居全省前列，形成了集“机场、高铁、高速、港口”为一体的全方位立体式交通网络。自来水厂二期工程投入使用，农村供水管网覆盖率达到</w:t>
      </w:r>
      <w:r>
        <w:rPr>
          <w:rFonts w:ascii="仿宋_GB2312" w:hAnsi="仿宋_GB2312" w:eastAsia="仿宋_GB2312" w:cs="仿宋_GB2312"/>
          <w:sz w:val="32"/>
          <w:szCs w:val="32"/>
        </w:rPr>
        <w:t>95%以上</w:t>
      </w:r>
      <w:r>
        <w:rPr>
          <w:rFonts w:hint="eastAsia" w:ascii="仿宋_GB2312" w:hAnsi="仿宋_GB2312" w:eastAsia="仿宋_GB2312" w:cs="仿宋_GB2312"/>
          <w:sz w:val="32"/>
          <w:szCs w:val="32"/>
        </w:rPr>
        <w:t>。“提升电网供电保障和抗灾能力三年行动计划”高质量完成，供电可靠率</w:t>
      </w:r>
      <w:r>
        <w:rPr>
          <w:rFonts w:ascii="仿宋_GB2312" w:hAnsi="仿宋_GB2312" w:eastAsia="仿宋_GB2312" w:cs="仿宋_GB2312"/>
          <w:sz w:val="32"/>
          <w:szCs w:val="32"/>
        </w:rPr>
        <w:t>99.8</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%。城乡4G信号、行政村光纤宽带、重点公共场所WIFI覆盖率均达到100%</w:t>
      </w:r>
      <w:r>
        <w:rPr>
          <w:rFonts w:hint="eastAsia" w:ascii="仿宋_GB2312" w:hAnsi="仿宋_GB2312" w:eastAsia="仿宋_GB2312" w:cs="仿宋_GB2312"/>
          <w:sz w:val="32"/>
          <w:szCs w:val="32"/>
        </w:rPr>
        <w:t>，5G基站数量排名全省第三。</w:t>
      </w:r>
      <w:r>
        <w:rPr>
          <w:rFonts w:ascii="仿宋_GB2312" w:hAnsi="仿宋_GB2312" w:eastAsia="仿宋_GB2312" w:cs="仿宋_GB2312"/>
          <w:sz w:val="32"/>
          <w:szCs w:val="32"/>
        </w:rPr>
        <w:t>天然气管网乡镇覆盖率达到83.3%，位居全省首位。潭门、博鳌、中原三镇入选第二批全国特色小镇名单，建成北仍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南强、留客</w:t>
      </w:r>
      <w:r>
        <w:rPr>
          <w:rFonts w:hint="eastAsia" w:ascii="仿宋_GB2312" w:hAnsi="仿宋_GB2312" w:eastAsia="仿宋_GB2312" w:cs="仿宋_GB2312"/>
          <w:sz w:val="32"/>
          <w:szCs w:val="32"/>
        </w:rPr>
        <w:t>、排港、</w:t>
      </w:r>
      <w:r>
        <w:rPr>
          <w:rFonts w:ascii="仿宋_GB2312" w:hAnsi="仿宋_GB2312" w:eastAsia="仿宋_GB2312" w:cs="仿宋_GB2312"/>
          <w:sz w:val="32"/>
          <w:szCs w:val="32"/>
        </w:rPr>
        <w:t>沙美、加脑等各具特色的美丽乡村，打造了博鳌国家农业公园、沙美湿地公园等一批乡村振兴示范点</w:t>
      </w:r>
      <w:r>
        <w:rPr>
          <w:rFonts w:hint="eastAsia" w:ascii="仿宋_GB2312" w:hAnsi="仿宋_GB2312" w:eastAsia="仿宋_GB2312" w:cs="仿宋_GB2312"/>
          <w:sz w:val="32"/>
          <w:szCs w:val="32"/>
        </w:rPr>
        <w:t>，形成了“多点布局、串点成线、联线成面”的全域美丽乡村格局。</w:t>
      </w:r>
    </w:p>
    <w:p>
      <w:pPr>
        <w:widowControl w:val="0"/>
        <w:spacing w:line="580" w:lineRule="exact"/>
        <w:ind w:firstLine="642" w:firstLineChars="200"/>
        <w:rPr>
          <w:rFonts w:ascii="仿宋_GB2312" w:hAnsi="仿宋_GB2312" w:eastAsia="仿宋_GB2312" w:cs="仿宋_GB2312"/>
          <w:sz w:val="32"/>
          <w:szCs w:val="32"/>
        </w:rPr>
      </w:pPr>
      <w:r>
        <w:rPr>
          <w:rFonts w:hint="eastAsia" w:ascii="楷体" w:hAnsi="楷体" w:eastAsia="楷体" w:cs="Times New Roman"/>
          <w:b/>
          <w:sz w:val="32"/>
          <w:szCs w:val="32"/>
        </w:rPr>
        <w:t>生态文明建设成效显著。</w:t>
      </w:r>
      <w:r>
        <w:rPr>
          <w:rFonts w:hint="eastAsia" w:ascii="仿宋_GB2312" w:hAnsi="仿宋_GB2312" w:eastAsia="仿宋_GB2312" w:cs="仿宋_GB2312"/>
          <w:sz w:val="32"/>
          <w:szCs w:val="32"/>
        </w:rPr>
        <w:t>深入贯彻习近平生态文明思想，牢固树立“绿水青山就是金山银山”理念，</w:t>
      </w:r>
      <w:r>
        <w:rPr>
          <w:rFonts w:hint="eastAsia" w:ascii="仿宋_GB2312" w:hAnsi="仿宋_GB2312" w:eastAsia="仿宋_GB2312" w:cs="仿宋_GB2312"/>
          <w:kern w:val="2"/>
          <w:sz w:val="32"/>
          <w:szCs w:val="32"/>
        </w:rPr>
        <w:t>用实际行动践行绿色发展理念。两轮中央环保督察交办信访件办结率达100%。</w:t>
      </w:r>
      <w:r>
        <w:rPr>
          <w:rStyle w:val="16"/>
          <w:rFonts w:hint="eastAsia" w:ascii="仿宋_GB2312" w:hAnsi="仿宋_GB2312" w:eastAsia="仿宋_GB2312" w:cs="仿宋_GB2312"/>
          <w:sz w:val="32"/>
          <w:szCs w:val="32"/>
        </w:rPr>
        <w:t>空气质量优良率、地表水水质优良率、城镇集中式饮用水源地水质稳定达标率均为</w:t>
      </w:r>
      <w:r>
        <w:rPr>
          <w:rStyle w:val="16"/>
          <w:rFonts w:ascii="仿宋_GB2312" w:hAnsi="仿宋_GB2312" w:eastAsia="仿宋_GB2312" w:cs="仿宋_GB2312"/>
          <w:sz w:val="32"/>
          <w:szCs w:val="32"/>
        </w:rPr>
        <w:t>100%，</w:t>
      </w:r>
      <w:r>
        <w:rPr>
          <w:rFonts w:hint="eastAsia" w:ascii="仿宋_GB2312" w:hAnsi="仿宋_GB2312" w:eastAsia="仿宋_GB2312" w:cs="仿宋_GB2312"/>
          <w:sz w:val="32"/>
          <w:szCs w:val="32"/>
        </w:rPr>
        <w:t>森林覆盖率稳居</w:t>
      </w:r>
      <w:r>
        <w:rPr>
          <w:rFonts w:ascii="仿宋_GB2312" w:hAnsi="仿宋_GB2312" w:eastAsia="仿宋_GB2312" w:cs="仿宋_GB2312"/>
          <w:sz w:val="32"/>
          <w:szCs w:val="32"/>
        </w:rPr>
        <w:t>69%，提前实现“十三五”预期目标</w:t>
      </w:r>
      <w:r>
        <w:rPr>
          <w:rFonts w:hint="eastAsia" w:ascii="仿宋_GB2312" w:hAnsi="仿宋_GB2312" w:eastAsia="仿宋_GB2312" w:cs="仿宋_GB2312"/>
          <w:sz w:val="32"/>
          <w:szCs w:val="32"/>
        </w:rPr>
        <w:t>。城乡生活垃圾无害化处理率达</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城镇污水集中处理率</w:t>
      </w:r>
      <w:r>
        <w:rPr>
          <w:rFonts w:hint="eastAsia" w:ascii="仿宋_GB2312" w:hAnsi="仿宋_GB2312" w:eastAsia="仿宋_GB2312" w:cs="仿宋_GB2312"/>
          <w:sz w:val="32"/>
          <w:szCs w:val="32"/>
        </w:rPr>
        <w:t>达</w:t>
      </w:r>
      <w:r>
        <w:rPr>
          <w:rFonts w:ascii="仿宋_GB2312" w:hAnsi="仿宋_GB2312" w:eastAsia="仿宋_GB2312" w:cs="仿宋_GB2312"/>
          <w:sz w:val="32"/>
          <w:szCs w:val="32"/>
        </w:rPr>
        <w:t>88%</w:t>
      </w:r>
      <w:r>
        <w:rPr>
          <w:rFonts w:hint="eastAsia" w:ascii="仿宋_GB2312" w:hAnsi="仿宋_GB2312" w:eastAsia="仿宋_GB2312" w:cs="仿宋_GB2312"/>
          <w:sz w:val="32"/>
          <w:szCs w:val="32"/>
        </w:rPr>
        <w:t>，农村卫生户厕覆盖率达99.9%。生活垃圾焚烧发电二期项目点火运营，全面完成</w:t>
      </w:r>
      <w:r>
        <w:rPr>
          <w:rFonts w:ascii="仿宋_GB2312" w:hAnsi="仿宋_GB2312" w:eastAsia="仿宋_GB2312" w:cs="仿宋_GB2312"/>
          <w:sz w:val="32"/>
          <w:szCs w:val="32"/>
        </w:rPr>
        <w:t>15个非正规垃圾堆放场治理，全市土壤环境质量总体保持稳定。建立并落实“河长制”“湖长制”和“湾长制”，</w:t>
      </w:r>
      <w:r>
        <w:rPr>
          <w:rFonts w:hint="eastAsia" w:ascii="仿宋_GB2312" w:hAnsi="仿宋_GB2312" w:eastAsia="仿宋_GB2312" w:cs="仿宋_GB2312"/>
          <w:sz w:val="32"/>
          <w:szCs w:val="32"/>
        </w:rPr>
        <w:t>双沟溪黑臭水体治理全面达标，重拳打击万泉河非法采砂，“五个统一”河砂产供新模式全省推广，近岸海域水污染防治和入海河流综合整治成效显著，顺利通过“全国水生态文明建设试点城市”验收。单位生产总值能耗下降目标均已达到省下达目标。</w:t>
      </w:r>
    </w:p>
    <w:p>
      <w:pPr>
        <w:widowControl w:val="0"/>
        <w:spacing w:line="580" w:lineRule="exact"/>
        <w:ind w:firstLine="642" w:firstLineChars="200"/>
        <w:rPr>
          <w:rFonts w:ascii="仿宋_GB2312" w:hAnsi="仿宋_GB2312" w:eastAsia="仿宋_GB2312" w:cs="仿宋_GB2312"/>
          <w:sz w:val="32"/>
          <w:szCs w:val="32"/>
        </w:rPr>
      </w:pPr>
      <w:r>
        <w:rPr>
          <w:rFonts w:hint="eastAsia" w:ascii="楷体" w:hAnsi="楷体" w:eastAsia="楷体" w:cs="Times New Roman"/>
          <w:b/>
          <w:sz w:val="32"/>
          <w:szCs w:val="32"/>
        </w:rPr>
        <w:t>人民生活水平持续改善。</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年，城乡常住居民人均可支配收入26745</w:t>
      </w:r>
      <w:r>
        <w:rPr>
          <w:rFonts w:ascii="仿宋_GB2312" w:hAnsi="仿宋_GB2312" w:eastAsia="仿宋_GB2312" w:cs="仿宋_GB2312"/>
          <w:sz w:val="32"/>
          <w:szCs w:val="32"/>
        </w:rPr>
        <w:t>元，与2015年相比，增长</w:t>
      </w:r>
      <w:r>
        <w:rPr>
          <w:rFonts w:hint="eastAsia" w:ascii="仿宋_GB2312" w:hAnsi="仿宋_GB2312" w:eastAsia="仿宋_GB2312" w:cs="仿宋_GB2312"/>
          <w:sz w:val="32"/>
          <w:szCs w:val="32"/>
        </w:rPr>
        <w:t>48.8</w:t>
      </w:r>
      <w:r>
        <w:rPr>
          <w:rFonts w:ascii="仿宋_GB2312" w:hAnsi="仿宋_GB2312" w:eastAsia="仿宋_GB2312" w:cs="仿宋_GB2312"/>
          <w:sz w:val="32"/>
          <w:szCs w:val="32"/>
        </w:rPr>
        <w:t>%，提前5年完成翻番的小康目标。脱贫攻坚工作</w:t>
      </w:r>
      <w:r>
        <w:rPr>
          <w:rFonts w:hint="eastAsia" w:ascii="仿宋_GB2312" w:hAnsi="仿宋_GB2312" w:eastAsia="仿宋_GB2312" w:cs="仿宋_GB2312"/>
          <w:sz w:val="32"/>
          <w:szCs w:val="32"/>
        </w:rPr>
        <w:t>成效显著，被国务院作为典型经验和案例向全国通报推广</w:t>
      </w:r>
      <w:r>
        <w:rPr>
          <w:rFonts w:hint="eastAsia" w:ascii="仿宋_GB2312" w:hAnsi="仿宋_GB2312" w:eastAsia="仿宋_GB2312" w:cs="仿宋_GB2312"/>
          <w:bCs/>
          <w:sz w:val="32"/>
          <w:szCs w:val="32"/>
        </w:rPr>
        <w:t>，全市建档立卡贫困户</w:t>
      </w:r>
      <w:r>
        <w:rPr>
          <w:rFonts w:ascii="仿宋_GB2312" w:hAnsi="仿宋_GB2312" w:eastAsia="仿宋_GB2312" w:cs="仿宋_GB2312"/>
          <w:bCs/>
          <w:sz w:val="32"/>
          <w:szCs w:val="32"/>
        </w:rPr>
        <w:t>4747户18039人及5个整村推进贫困村全部</w:t>
      </w:r>
      <w:r>
        <w:rPr>
          <w:rFonts w:hint="eastAsia" w:ascii="仿宋_GB2312" w:hAnsi="仿宋_GB2312" w:eastAsia="仿宋_GB2312" w:cs="仿宋_GB2312"/>
          <w:bCs/>
          <w:sz w:val="32"/>
          <w:szCs w:val="32"/>
        </w:rPr>
        <w:t>于</w:t>
      </w:r>
      <w:r>
        <w:rPr>
          <w:rFonts w:ascii="仿宋_GB2312" w:hAnsi="仿宋_GB2312" w:eastAsia="仿宋_GB2312" w:cs="仿宋_GB2312"/>
          <w:bCs/>
          <w:sz w:val="32"/>
          <w:szCs w:val="32"/>
        </w:rPr>
        <w:t>2019年</w:t>
      </w:r>
      <w:r>
        <w:rPr>
          <w:rFonts w:hint="eastAsia" w:ascii="仿宋_GB2312" w:hAnsi="仿宋_GB2312" w:eastAsia="仿宋_GB2312" w:cs="仿宋_GB2312"/>
          <w:sz w:val="32"/>
          <w:szCs w:val="32"/>
        </w:rPr>
        <w:t>提前</w:t>
      </w:r>
      <w:r>
        <w:rPr>
          <w:rFonts w:hint="eastAsia" w:ascii="仿宋_GB2312" w:hAnsi="仿宋_GB2312" w:eastAsia="仿宋_GB2312" w:cs="仿宋_GB2312"/>
          <w:bCs/>
          <w:sz w:val="32"/>
          <w:szCs w:val="32"/>
        </w:rPr>
        <w:t>实现脱贫摘帽，</w:t>
      </w:r>
      <w:r>
        <w:rPr>
          <w:rFonts w:hint="eastAsia" w:ascii="仿宋_GB2312" w:hAnsi="仿宋_GB2312" w:eastAsia="仿宋_GB2312" w:cs="仿宋_GB2312"/>
          <w:sz w:val="32"/>
          <w:szCs w:val="32"/>
        </w:rPr>
        <w:t>脱贫户和脱贫出列村实现稳定增收，2020年农村贫困人口人均纯收入达14884.8元</w:t>
      </w:r>
      <w:r>
        <w:rPr>
          <w:rFonts w:hint="eastAsia" w:ascii="仿宋_GB2312" w:hAnsi="仿宋_GB2312" w:eastAsia="仿宋_GB2312" w:cs="仿宋_GB2312"/>
          <w:bCs/>
          <w:sz w:val="32"/>
          <w:szCs w:val="32"/>
        </w:rPr>
        <w:t>。新冠肺炎疫情防控及时有力，复工复产推进迅速。</w:t>
      </w:r>
      <w:r>
        <w:rPr>
          <w:rFonts w:hint="eastAsia" w:ascii="仿宋_GB2312" w:hAnsi="仿宋_GB2312" w:eastAsia="仿宋_GB2312" w:cs="仿宋_GB2312"/>
          <w:sz w:val="32"/>
          <w:szCs w:val="32"/>
        </w:rPr>
        <w:t>消防安全治理成效显著，重大火灾隐患整改率达</w:t>
      </w:r>
      <w:r>
        <w:rPr>
          <w:rFonts w:ascii="仿宋_GB2312" w:hAnsi="仿宋_GB2312" w:eastAsia="仿宋_GB2312" w:cs="仿宋_GB2312"/>
          <w:sz w:val="32"/>
          <w:szCs w:val="32"/>
        </w:rPr>
        <w:t>100%。</w:t>
      </w:r>
      <w:r>
        <w:rPr>
          <w:rFonts w:hint="eastAsia" w:ascii="仿宋_GB2312" w:hAnsi="仿宋_GB2312" w:eastAsia="仿宋_GB2312" w:cs="仿宋_GB2312"/>
          <w:bCs/>
          <w:sz w:val="32"/>
          <w:szCs w:val="32"/>
        </w:rPr>
        <w:t>基本社会保障制度实现全覆盖，城乡养老保险参保率达94.7%，基本养老金社会化发放率达到</w:t>
      </w:r>
      <w:r>
        <w:rPr>
          <w:rFonts w:ascii="仿宋_GB2312" w:hAnsi="仿宋_GB2312" w:eastAsia="仿宋_GB2312" w:cs="仿宋_GB2312"/>
          <w:bCs/>
          <w:sz w:val="32"/>
          <w:szCs w:val="32"/>
        </w:rPr>
        <w:t>100%。立体化治安防控和重大安保警卫机制不断优化，有力维护国家政治安全和社会稳定，刑事、治安案件逐年递降，群众安全感满意度位列全省前列。文化体育中心、琼海中学、琼海中学附属小学、基层卫生标准化建设、东部区域疾病预防控制中心、妇幼保健院（一期）等项目顺利推进，义务教育大班额问题得到有效改善，</w:t>
      </w:r>
      <w:r>
        <w:rPr>
          <w:rFonts w:hint="eastAsia" w:ascii="Times New Roman" w:hAnsi="Times New Roman" w:eastAsia="仿宋_GB2312" w:cs="仿宋_GB2312"/>
          <w:sz w:val="32"/>
          <w:szCs w:val="32"/>
        </w:rPr>
        <w:t>市人民医院成为全省首家县级三级甲等综合性医院，</w:t>
      </w:r>
      <w:r>
        <w:rPr>
          <w:rFonts w:hint="eastAsia" w:ascii="仿宋_GB2312" w:hAnsi="仿宋_GB2312" w:eastAsia="仿宋_GB2312" w:cs="仿宋_GB2312"/>
          <w:bCs/>
          <w:sz w:val="32"/>
          <w:szCs w:val="32"/>
        </w:rPr>
        <w:t>市域内就诊率达</w:t>
      </w:r>
      <w:r>
        <w:rPr>
          <w:rFonts w:ascii="仿宋_GB2312" w:hAnsi="仿宋_GB2312" w:eastAsia="仿宋_GB2312" w:cs="仿宋_GB2312"/>
          <w:bCs/>
          <w:sz w:val="32"/>
          <w:szCs w:val="32"/>
        </w:rPr>
        <w:t>90.7%。社会养老服务体系基本建立，住房保障体系逐步健全。居民收入增长率跑赢人均生产总值增长率。城镇登记失业率控制在2%</w:t>
      </w:r>
      <w:r>
        <w:rPr>
          <w:rFonts w:hint="eastAsia" w:ascii="仿宋_GB2312" w:hAnsi="仿宋_GB2312" w:eastAsia="仿宋_GB2312" w:cs="仿宋_GB2312"/>
          <w:bCs/>
          <w:sz w:val="32"/>
          <w:szCs w:val="32"/>
        </w:rPr>
        <w:t>以内，远低于省下达</w:t>
      </w:r>
      <w:r>
        <w:rPr>
          <w:rFonts w:ascii="仿宋_GB2312" w:hAnsi="仿宋_GB2312" w:eastAsia="仿宋_GB2312" w:cs="仿宋_GB2312"/>
          <w:bCs/>
          <w:sz w:val="32"/>
          <w:szCs w:val="32"/>
        </w:rPr>
        <w:t>4.5%</w:t>
      </w:r>
      <w:r>
        <w:rPr>
          <w:rFonts w:hint="eastAsia" w:ascii="仿宋_GB2312" w:hAnsi="仿宋_GB2312" w:eastAsia="仿宋_GB2312" w:cs="仿宋_GB2312"/>
          <w:bCs/>
          <w:sz w:val="32"/>
          <w:szCs w:val="32"/>
        </w:rPr>
        <w:t>的目标。</w:t>
      </w:r>
    </w:p>
    <w:p>
      <w:pPr>
        <w:pStyle w:val="10"/>
        <w:widowControl w:val="0"/>
        <w:spacing w:line="58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总体来看，</w:t>
      </w:r>
      <w:r>
        <w:rPr>
          <w:rFonts w:hint="eastAsia" w:ascii="仿宋_GB2312" w:hAnsi="仿宋_GB2312" w:eastAsia="仿宋_GB2312" w:cs="仿宋_GB2312"/>
          <w:sz w:val="32"/>
          <w:szCs w:val="32"/>
        </w:rPr>
        <w:t>“十三五”时期，</w:t>
      </w:r>
      <w:r>
        <w:rPr>
          <w:rFonts w:hint="eastAsia" w:ascii="仿宋_GB2312" w:hAnsi="仿宋_GB2312" w:eastAsia="仿宋_GB2312" w:cs="仿宋_GB2312"/>
          <w:bCs/>
          <w:sz w:val="32"/>
          <w:szCs w:val="32"/>
        </w:rPr>
        <w:t>特别是“4·13”以来，</w:t>
      </w:r>
      <w:r>
        <w:rPr>
          <w:rFonts w:hint="eastAsia" w:ascii="仿宋_GB2312" w:hAnsi="仿宋_GB2312" w:eastAsia="仿宋_GB2312" w:cs="仿宋_GB2312"/>
          <w:sz w:val="32"/>
          <w:szCs w:val="32"/>
        </w:rPr>
        <w:t>全市围绕全面建成小康社会这个历史重任，抢抓中国特色自由贸易港建设的历史机遇，主动担当、勇于创新，</w:t>
      </w:r>
      <w:r>
        <w:rPr>
          <w:rFonts w:hint="eastAsia" w:ascii="仿宋_GB2312" w:hAnsi="仿宋_GB2312" w:eastAsia="仿宋_GB2312" w:cs="仿宋_GB2312"/>
          <w:bCs/>
          <w:sz w:val="32"/>
          <w:szCs w:val="32"/>
        </w:rPr>
        <w:t>全市经济社会发展迈上新台阶，</w:t>
      </w:r>
      <w:r>
        <w:rPr>
          <w:rFonts w:hint="eastAsia" w:ascii="仿宋_GB2312" w:hAnsi="仿宋_GB2312" w:eastAsia="仿宋_GB2312" w:cs="仿宋_GB2312"/>
          <w:sz w:val="32"/>
          <w:szCs w:val="32"/>
        </w:rPr>
        <w:t>为“十四五”时期打造海南自由贸易港建设琼海标杆、全面建设引领海南东部区域发展的现代化国际化中心城市奠定了坚实的基础。</w:t>
      </w:r>
    </w:p>
    <w:p>
      <w:pPr>
        <w:pStyle w:val="9"/>
        <w:widowControl w:val="0"/>
        <w:outlineLvl w:val="1"/>
        <w:rPr>
          <w:rFonts w:ascii="楷体" w:hAnsi="楷体" w:eastAsia="楷体" w:cs="楷体"/>
        </w:rPr>
      </w:pPr>
      <w:bookmarkStart w:id="27" w:name="_Toc24695"/>
      <w:bookmarkStart w:id="28" w:name="_Toc1022"/>
      <w:bookmarkStart w:id="29" w:name="_Toc26160"/>
      <w:bookmarkStart w:id="30" w:name="_Toc16534"/>
      <w:bookmarkStart w:id="31" w:name="_Toc6892"/>
      <w:bookmarkStart w:id="32" w:name="_Toc4004"/>
      <w:bookmarkStart w:id="33" w:name="_Toc15375"/>
      <w:bookmarkStart w:id="34" w:name="_Toc10250"/>
      <w:bookmarkStart w:id="35" w:name="_Toc923"/>
      <w:r>
        <w:rPr>
          <w:rFonts w:hint="eastAsia" w:ascii="楷体" w:hAnsi="楷体" w:eastAsia="楷体" w:cs="楷体"/>
        </w:rPr>
        <w:t>第二节</w:t>
      </w:r>
      <w:r>
        <w:rPr>
          <w:rFonts w:ascii="楷体" w:hAnsi="楷体" w:eastAsia="楷体" w:cs="楷体"/>
        </w:rPr>
        <w:t xml:space="preserve">  </w:t>
      </w:r>
      <w:bookmarkEnd w:id="27"/>
      <w:bookmarkEnd w:id="28"/>
      <w:bookmarkEnd w:id="29"/>
      <w:bookmarkEnd w:id="30"/>
      <w:bookmarkEnd w:id="31"/>
      <w:bookmarkEnd w:id="32"/>
      <w:bookmarkEnd w:id="33"/>
      <w:r>
        <w:rPr>
          <w:rFonts w:hint="eastAsia" w:ascii="楷体" w:hAnsi="楷体" w:eastAsia="楷体" w:cs="楷体"/>
        </w:rPr>
        <w:t>面临的机遇和挑战</w:t>
      </w:r>
      <w:bookmarkEnd w:id="34"/>
      <w:bookmarkEnd w:id="35"/>
      <w:r>
        <w:rPr>
          <w:rFonts w:ascii="楷体" w:hAnsi="楷体" w:eastAsia="楷体" w:cs="楷体"/>
        </w:rPr>
        <w:tab/>
      </w:r>
    </w:p>
    <w:p>
      <w:pPr>
        <w:widowControl w:val="0"/>
        <w:snapToGrid w:val="0"/>
        <w:spacing w:line="640" w:lineRule="exact"/>
        <w:ind w:firstLine="624" w:firstLineChars="195"/>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“十四五”时期，我市发展仍然处于重要战略机遇期，但机遇和挑战都有新的发展变化。</w:t>
      </w:r>
    </w:p>
    <w:p>
      <w:pPr>
        <w:widowControl w:val="0"/>
        <w:snapToGrid w:val="0"/>
        <w:spacing w:line="640" w:lineRule="exact"/>
        <w:ind w:firstLine="626" w:firstLineChars="195"/>
        <w:rPr>
          <w:rFonts w:ascii="仿宋_GB2312" w:hAnsi="仿宋_GB2312" w:eastAsia="仿宋_GB2312" w:cs="仿宋_GB2312"/>
          <w:sz w:val="32"/>
          <w:szCs w:val="32"/>
        </w:rPr>
      </w:pPr>
      <w:r>
        <w:rPr>
          <w:rFonts w:hint="eastAsia" w:ascii="楷体" w:hAnsi="楷体" w:eastAsia="楷体" w:cs="Times New Roman"/>
          <w:b/>
          <w:sz w:val="32"/>
          <w:szCs w:val="32"/>
        </w:rPr>
        <w:t>国际。</w:t>
      </w:r>
      <w:r>
        <w:rPr>
          <w:rFonts w:hint="eastAsia" w:ascii="仿宋_GB2312" w:hAnsi="仿宋_GB2312" w:eastAsia="仿宋_GB2312" w:cs="仿宋_GB2312"/>
          <w:sz w:val="32"/>
          <w:szCs w:val="32"/>
        </w:rPr>
        <w:t>当今世界正经历百年未有之大变局，和平与发展仍然是时代主题，同时国际环境日趋复杂，新冠肺炎疫情影响广泛深远，经济全球化遭遇逆流。建设自由贸易港、打造引领我国新时代对外开放的鲜明旗帜和重要开放门户是未来五年的主旋律，</w:t>
      </w:r>
      <w:r>
        <w:rPr>
          <w:rFonts w:ascii="仿宋_GB2312" w:hAnsi="仿宋_GB2312" w:eastAsia="仿宋_GB2312" w:cs="仿宋_GB2312"/>
          <w:sz w:val="32"/>
          <w:szCs w:val="32"/>
        </w:rPr>
        <w:t>琼海</w:t>
      </w:r>
      <w:r>
        <w:rPr>
          <w:rFonts w:hint="eastAsia" w:ascii="仿宋_GB2312" w:hAnsi="仿宋_GB2312" w:eastAsia="仿宋_GB2312" w:cs="仿宋_GB2312"/>
          <w:sz w:val="32"/>
          <w:szCs w:val="32"/>
        </w:rPr>
        <w:t>作为亚洲博鳌论坛永久会址和博鳌乐城国际医疗旅游先行区的所在地，要实行更加积极主动的开放战略，应对国际形势发生的新变化带来新影响，为全国改革开放发挥重要窗口、试验平台、开拓者和实干家作用。</w:t>
      </w:r>
    </w:p>
    <w:p>
      <w:pPr>
        <w:widowControl w:val="0"/>
        <w:snapToGrid w:val="0"/>
        <w:spacing w:line="640" w:lineRule="exact"/>
        <w:ind w:firstLine="626" w:firstLineChars="195"/>
        <w:rPr>
          <w:rFonts w:ascii="仿宋" w:hAnsi="仿宋" w:eastAsia="仿宋" w:cs="仿宋"/>
          <w:sz w:val="32"/>
          <w:szCs w:val="32"/>
        </w:rPr>
      </w:pPr>
      <w:r>
        <w:rPr>
          <w:rFonts w:hint="eastAsia" w:ascii="楷体" w:hAnsi="楷体" w:eastAsia="楷体" w:cs="Times New Roman"/>
          <w:b/>
          <w:sz w:val="32"/>
          <w:szCs w:val="32"/>
        </w:rPr>
        <w:t>国内。</w:t>
      </w:r>
      <w:r>
        <w:rPr>
          <w:rFonts w:hint="eastAsia" w:ascii="仿宋_GB2312" w:hAnsi="仿宋_GB2312" w:eastAsia="仿宋_GB2312" w:cs="仿宋_GB2312"/>
          <w:sz w:val="32"/>
          <w:szCs w:val="32"/>
        </w:rPr>
        <w:t>我国已转向高质量发展阶段，</w:t>
      </w:r>
      <w:r>
        <w:rPr>
          <w:rFonts w:hint="eastAsia" w:ascii="Times New Roman" w:hAnsi="Times New Roman" w:eastAsia="仿宋_GB2312" w:cs="仿宋_GB2312"/>
          <w:sz w:val="32"/>
          <w:szCs w:val="32"/>
        </w:rPr>
        <w:t>正在形成以国内大循环为主体、国内国际双循环相互促进的新发展格局</w:t>
      </w:r>
      <w:r>
        <w:rPr>
          <w:rFonts w:hint="eastAsia" w:ascii="仿宋_GB2312" w:hAnsi="仿宋_GB2312" w:eastAsia="仿宋_GB2312" w:cs="仿宋_GB2312"/>
          <w:sz w:val="32"/>
          <w:szCs w:val="32"/>
        </w:rPr>
        <w:t>。琼海要适应新时代国内经济发展的新要求，落实中央和省里的决策部署，把握全市经济社会发展的阶段性特征和规律，提高市域治理能力和水平，做好应对各种复杂困难局面的准备，确保全市经济在持续健康轨道上运行。</w:t>
      </w:r>
    </w:p>
    <w:p>
      <w:pPr>
        <w:widowControl w:val="0"/>
        <w:snapToGrid w:val="0"/>
        <w:spacing w:line="640" w:lineRule="exact"/>
        <w:ind w:firstLine="626" w:firstLineChars="195"/>
        <w:rPr>
          <w:rFonts w:ascii="仿宋_GB2312" w:hAnsi="仿宋_GB2312" w:eastAsia="仿宋_GB2312" w:cs="仿宋_GB2312"/>
          <w:sz w:val="32"/>
          <w:szCs w:val="32"/>
        </w:rPr>
      </w:pPr>
      <w:r>
        <w:rPr>
          <w:rFonts w:hint="eastAsia" w:ascii="楷体" w:hAnsi="楷体" w:eastAsia="楷体" w:cs="Times New Roman"/>
          <w:b/>
          <w:sz w:val="32"/>
          <w:szCs w:val="32"/>
        </w:rPr>
        <w:t>省内。</w:t>
      </w:r>
      <w:r>
        <w:rPr>
          <w:rFonts w:hint="eastAsia" w:ascii="仿宋_GB2312" w:hAnsi="仿宋_GB2312" w:eastAsia="仿宋_GB2312" w:cs="仿宋_GB2312"/>
          <w:sz w:val="32"/>
          <w:szCs w:val="32"/>
        </w:rPr>
        <w:t>海南进入建设中国特色自由贸易港的历史新时期，极大地拓展了海南发展的战略空间，为琼海发展提供了前所未有的历史契机。同时也面临着贸易和投资自由化便利化带来的国家安全、经济安全、公共安全、生态安全等风险。琼海积极主动融入中国特色自由贸易港建设的大业，一方面，要用好用足用活中国特色自由贸易港政策和制度体系，加快琼海发展；另一方面，要坚持底线思维，加强风险防控，扛起琼海的责任与担当。</w:t>
      </w:r>
    </w:p>
    <w:p>
      <w:pPr>
        <w:widowControl w:val="0"/>
        <w:snapToGrid w:val="0"/>
        <w:spacing w:line="640" w:lineRule="exact"/>
        <w:ind w:firstLine="626" w:firstLineChars="195"/>
        <w:rPr>
          <w:rFonts w:ascii="仿宋_GB2312" w:hAnsi="仿宋_GB2312" w:eastAsia="仿宋_GB2312" w:cs="仿宋_GB2312"/>
          <w:sz w:val="32"/>
          <w:szCs w:val="32"/>
        </w:rPr>
      </w:pPr>
      <w:r>
        <w:rPr>
          <w:rFonts w:hint="eastAsia" w:ascii="楷体" w:hAnsi="楷体" w:eastAsia="楷体" w:cs="Times New Roman"/>
          <w:b/>
          <w:sz w:val="32"/>
          <w:szCs w:val="32"/>
        </w:rPr>
        <w:t>市内。</w:t>
      </w:r>
      <w:r>
        <w:rPr>
          <w:rFonts w:hint="eastAsia" w:ascii="仿宋_GB2312" w:hAnsi="仿宋_GB2312" w:eastAsia="仿宋_GB2312" w:cs="仿宋_GB2312"/>
          <w:sz w:val="32"/>
          <w:szCs w:val="32"/>
        </w:rPr>
        <w:t>建省办经济特区</w:t>
      </w:r>
      <w:r>
        <w:rPr>
          <w:rFonts w:ascii="仿宋_GB2312" w:hAnsi="仿宋_GB2312" w:eastAsia="仿宋_GB2312" w:cs="仿宋_GB2312"/>
          <w:sz w:val="32"/>
          <w:szCs w:val="32"/>
        </w:rPr>
        <w:t>30年来</w:t>
      </w:r>
      <w:r>
        <w:rPr>
          <w:rFonts w:hint="eastAsia" w:ascii="仿宋_GB2312" w:hAnsi="仿宋_GB2312" w:eastAsia="仿宋_GB2312" w:cs="仿宋_GB2312"/>
          <w:sz w:val="32"/>
          <w:szCs w:val="32"/>
        </w:rPr>
        <w:t>，海南形成了海口、三亚、儋州、琼海的北南西东四极的新区域发展格局。“十三五”期间,琼海</w:t>
      </w:r>
      <w:r>
        <w:rPr>
          <w:rFonts w:hint="eastAsia" w:ascii="Times New Roman" w:hAnsi="Times New Roman" w:eastAsia="仿宋_GB2312" w:cs="仿宋_GB2312"/>
          <w:sz w:val="32"/>
          <w:szCs w:val="32"/>
        </w:rPr>
        <w:t>经济发展稳定</w:t>
      </w:r>
      <w:r>
        <w:rPr>
          <w:rFonts w:hint="eastAsia" w:eastAsia="仿宋_GB2312" w:cs="仿宋_GB2312"/>
          <w:sz w:val="32"/>
          <w:szCs w:val="32"/>
        </w:rPr>
        <w:t>，</w:t>
      </w:r>
      <w:r>
        <w:rPr>
          <w:rFonts w:hint="eastAsia" w:ascii="Times New Roman" w:hAnsi="Times New Roman" w:eastAsia="仿宋_GB2312" w:cs="仿宋_GB2312"/>
          <w:sz w:val="32"/>
          <w:szCs w:val="32"/>
        </w:rPr>
        <w:t>开发适度，在医疗、会议会展、旅游、农业开放合作等领域具有产业基础和政策优势，地方治理、政府效能水平较高，区位优势独特、</w:t>
      </w:r>
      <w:r>
        <w:rPr>
          <w:rFonts w:hint="eastAsia" w:ascii="Times New Roman" w:hAnsi="Times New Roman" w:eastAsia="仿宋_GB2312" w:cs="仿宋_GB2312"/>
          <w:sz w:val="32"/>
          <w:szCs w:val="32"/>
          <w:lang w:val="zh-TW"/>
        </w:rPr>
        <w:t>拥有</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zh-TW"/>
        </w:rPr>
        <w:t>一机场一高铁三高速四港口</w:t>
      </w:r>
      <w:r>
        <w:rPr>
          <w:rFonts w:hint="eastAsia" w:ascii="Times New Roman" w:hAnsi="Times New Roman" w:eastAsia="仿宋_GB2312" w:cs="仿宋_GB2312"/>
          <w:sz w:val="32"/>
          <w:szCs w:val="32"/>
        </w:rPr>
        <w:t>”，综合交通运输服务保障能力强，</w:t>
      </w:r>
      <w:bookmarkStart w:id="36" w:name="_Toc15801"/>
      <w:bookmarkStart w:id="37" w:name="_Toc3935"/>
      <w:r>
        <w:rPr>
          <w:rFonts w:hint="eastAsia" w:ascii="Times New Roman" w:hAnsi="Times New Roman" w:eastAsia="仿宋_GB2312" w:cs="仿宋_GB2312"/>
          <w:sz w:val="32"/>
          <w:szCs w:val="32"/>
        </w:rPr>
        <w:t>形成了自由贸易港建设独特优势</w:t>
      </w:r>
      <w:bookmarkEnd w:id="36"/>
      <w:bookmarkEnd w:id="37"/>
      <w:r>
        <w:rPr>
          <w:rFonts w:hint="eastAsia" w:ascii="Times New Roman" w:hAnsi="Times New Roman" w:eastAsia="仿宋_GB2312" w:cs="仿宋_GB2312"/>
          <w:sz w:val="32"/>
          <w:szCs w:val="32"/>
        </w:rPr>
        <w:t>，将琼海全面建成海南“</w:t>
      </w:r>
      <w:r>
        <w:rPr>
          <w:rFonts w:hint="eastAsia" w:ascii="仿宋_GB2312" w:hAnsi="仿宋_GB2312" w:eastAsia="仿宋_GB2312" w:cs="仿宋_GB2312"/>
          <w:sz w:val="32"/>
          <w:szCs w:val="32"/>
        </w:rPr>
        <w:t>第四极</w:t>
      </w:r>
      <w:r>
        <w:rPr>
          <w:rFonts w:hint="eastAsia" w:ascii="Times New Roman" w:hAnsi="Times New Roman" w:eastAsia="仿宋_GB2312" w:cs="仿宋_GB2312"/>
          <w:sz w:val="32"/>
          <w:szCs w:val="32"/>
        </w:rPr>
        <w:t>”已具备良好基础。</w:t>
      </w:r>
      <w:r>
        <w:rPr>
          <w:rFonts w:hint="eastAsia" w:ascii="仿宋_GB2312" w:hAnsi="仿宋_GB2312" w:eastAsia="仿宋_GB2312" w:cs="仿宋_GB2312"/>
          <w:sz w:val="32"/>
          <w:szCs w:val="32"/>
        </w:rPr>
        <w:t>同时，面对建设中国特色自由贸易港的高标准高要求，还存在一些短板和弱项，经济下行压力较大、储备用地严重不足、市场主体少而弱、产业基础薄弱、人才储备不足、开放条件下的治理经验有限等短板和弱项，需要全市人民共同努力，加紧补短板、强弱项，抢抓先机、迎头赶上。</w:t>
      </w:r>
    </w:p>
    <w:p>
      <w:pPr>
        <w:widowControl w:val="0"/>
        <w:snapToGrid w:val="0"/>
        <w:spacing w:line="640" w:lineRule="exact"/>
        <w:ind w:firstLine="624" w:firstLineChars="195"/>
        <w:rPr>
          <w:rFonts w:ascii="仿宋_GB2312" w:hAnsi="仿宋_GB2312" w:eastAsia="仿宋_GB2312" w:cs="仿宋_GB2312"/>
          <w:sz w:val="32"/>
          <w:szCs w:val="32"/>
        </w:rPr>
      </w:pPr>
      <w:r>
        <w:rPr>
          <w:rFonts w:hint="eastAsia" w:ascii="仿宋_GB2312" w:hAnsi="仿宋_GB2312" w:eastAsia="仿宋_GB2312" w:cs="仿宋_GB2312"/>
          <w:sz w:val="32"/>
          <w:szCs w:val="32"/>
        </w:rPr>
        <w:t>对琼海来讲，市内外经济形势错综复杂，但只要抓住中国特色自由贸易港的战略机遇，把握全面建设海南经济社会发展“第四极”的主动权，始终保持“闯”的精神、“创”的劲头、“干”的作风，在危机中育先机、于变局中开新局，就能实现“十四五”时期的宏伟蓝图。</w:t>
      </w:r>
      <w:bookmarkStart w:id="38" w:name="_Toc18832"/>
      <w:bookmarkStart w:id="39" w:name="_Toc22938"/>
      <w:bookmarkStart w:id="40" w:name="_Toc747"/>
      <w:bookmarkStart w:id="41" w:name="_Toc31050"/>
      <w:bookmarkStart w:id="42" w:name="_Toc17786"/>
      <w:bookmarkStart w:id="43" w:name="_Toc5676"/>
      <w:bookmarkStart w:id="44" w:name="_Toc5994"/>
      <w:bookmarkStart w:id="45" w:name="_Toc13985"/>
      <w:bookmarkStart w:id="46" w:name="_Toc30887"/>
    </w:p>
    <w:p>
      <w:pPr>
        <w:pStyle w:val="9"/>
        <w:widowControl w:val="0"/>
        <w:spacing w:line="420" w:lineRule="exact"/>
        <w:rPr>
          <w:rFonts w:ascii="黑体" w:hAnsi="黑体" w:eastAsia="黑体"/>
          <w:b w:val="0"/>
        </w:rPr>
      </w:pPr>
    </w:p>
    <w:p>
      <w:pPr>
        <w:pStyle w:val="9"/>
        <w:widowControl w:val="0"/>
        <w:spacing w:line="420" w:lineRule="exact"/>
        <w:rPr>
          <w:rFonts w:ascii="黑体" w:hAnsi="黑体" w:eastAsia="黑体"/>
          <w:b w:val="0"/>
        </w:rPr>
      </w:pPr>
    </w:p>
    <w:p>
      <w:pPr>
        <w:pStyle w:val="9"/>
        <w:widowControl w:val="0"/>
        <w:spacing w:line="420" w:lineRule="exact"/>
        <w:rPr>
          <w:rFonts w:ascii="黑体" w:hAnsi="黑体" w:eastAsia="黑体"/>
          <w:b w:val="0"/>
        </w:rPr>
      </w:pPr>
    </w:p>
    <w:p>
      <w:pPr>
        <w:pStyle w:val="9"/>
        <w:widowControl w:val="0"/>
        <w:spacing w:line="420" w:lineRule="exact"/>
        <w:rPr>
          <w:rFonts w:ascii="黑体" w:hAnsi="黑体" w:eastAsia="黑体"/>
          <w:b w:val="0"/>
        </w:rPr>
      </w:pPr>
    </w:p>
    <w:p>
      <w:pPr>
        <w:pStyle w:val="9"/>
        <w:widowControl w:val="0"/>
        <w:spacing w:line="420" w:lineRule="exact"/>
        <w:rPr>
          <w:rFonts w:ascii="黑体" w:hAnsi="黑体" w:eastAsia="黑体"/>
          <w:b w:val="0"/>
        </w:rPr>
      </w:pPr>
    </w:p>
    <w:p>
      <w:pPr>
        <w:pStyle w:val="9"/>
        <w:widowControl w:val="0"/>
        <w:spacing w:line="420" w:lineRule="exact"/>
        <w:rPr>
          <w:rFonts w:ascii="黑体" w:hAnsi="黑体" w:eastAsia="黑体"/>
          <w:b w:val="0"/>
        </w:rPr>
      </w:pPr>
    </w:p>
    <w:p>
      <w:pPr>
        <w:pStyle w:val="9"/>
        <w:widowControl w:val="0"/>
        <w:spacing w:line="420" w:lineRule="exact"/>
        <w:rPr>
          <w:rFonts w:ascii="黑体" w:hAnsi="黑体" w:eastAsia="黑体"/>
          <w:b w:val="0"/>
        </w:rPr>
      </w:pPr>
    </w:p>
    <w:p>
      <w:pPr>
        <w:pStyle w:val="9"/>
        <w:widowControl w:val="0"/>
        <w:spacing w:line="420" w:lineRule="exact"/>
        <w:rPr>
          <w:rFonts w:ascii="黑体" w:hAnsi="黑体" w:eastAsia="黑体"/>
          <w:b w:val="0"/>
        </w:rPr>
      </w:pPr>
    </w:p>
    <w:p>
      <w:pPr>
        <w:pStyle w:val="9"/>
        <w:widowControl w:val="0"/>
        <w:spacing w:line="420" w:lineRule="exact"/>
        <w:rPr>
          <w:rFonts w:ascii="黑体" w:hAnsi="黑体" w:eastAsia="黑体"/>
          <w:b w:val="0"/>
        </w:rPr>
      </w:pPr>
    </w:p>
    <w:p>
      <w:pPr>
        <w:pStyle w:val="9"/>
        <w:widowControl w:val="0"/>
        <w:spacing w:line="420" w:lineRule="exact"/>
        <w:rPr>
          <w:rFonts w:ascii="黑体" w:hAnsi="黑体" w:eastAsia="黑体"/>
          <w:b w:val="0"/>
        </w:rPr>
      </w:pPr>
    </w:p>
    <w:p>
      <w:pPr>
        <w:pStyle w:val="9"/>
        <w:widowControl w:val="0"/>
        <w:spacing w:line="420" w:lineRule="exact"/>
        <w:rPr>
          <w:rFonts w:ascii="黑体" w:hAnsi="黑体" w:eastAsia="黑体"/>
          <w:b w:val="0"/>
        </w:rPr>
      </w:pPr>
    </w:p>
    <w:p>
      <w:pPr>
        <w:pStyle w:val="9"/>
        <w:widowControl w:val="0"/>
        <w:spacing w:line="420" w:lineRule="exact"/>
        <w:rPr>
          <w:rFonts w:ascii="黑体" w:hAnsi="黑体" w:eastAsia="黑体"/>
          <w:b w:val="0"/>
        </w:rPr>
      </w:pPr>
    </w:p>
    <w:p>
      <w:pPr>
        <w:pStyle w:val="9"/>
        <w:widowControl w:val="0"/>
        <w:spacing w:line="420" w:lineRule="exact"/>
        <w:rPr>
          <w:rFonts w:ascii="黑体" w:hAnsi="黑体" w:eastAsia="黑体"/>
          <w:b w:val="0"/>
        </w:rPr>
      </w:pPr>
    </w:p>
    <w:p>
      <w:pPr>
        <w:pStyle w:val="9"/>
        <w:widowControl w:val="0"/>
        <w:spacing w:line="420" w:lineRule="exact"/>
        <w:rPr>
          <w:rFonts w:ascii="黑体" w:hAnsi="黑体" w:eastAsia="黑体"/>
          <w:b w:val="0"/>
        </w:rPr>
      </w:pPr>
    </w:p>
    <w:p>
      <w:pPr>
        <w:pStyle w:val="9"/>
        <w:widowControl w:val="0"/>
        <w:spacing w:line="420" w:lineRule="exact"/>
        <w:rPr>
          <w:rFonts w:ascii="黑体" w:hAnsi="黑体" w:eastAsia="黑体"/>
          <w:b w:val="0"/>
        </w:rPr>
      </w:pPr>
    </w:p>
    <w:p>
      <w:pPr>
        <w:pStyle w:val="9"/>
        <w:widowControl w:val="0"/>
        <w:spacing w:line="420" w:lineRule="exact"/>
        <w:rPr>
          <w:rFonts w:ascii="黑体" w:hAnsi="黑体" w:eastAsia="黑体"/>
          <w:b w:val="0"/>
        </w:rPr>
      </w:pPr>
    </w:p>
    <w:p>
      <w:pPr>
        <w:pStyle w:val="9"/>
        <w:widowControl w:val="0"/>
        <w:spacing w:line="420" w:lineRule="exact"/>
        <w:rPr>
          <w:rFonts w:ascii="黑体" w:hAnsi="黑体" w:eastAsia="黑体"/>
          <w:b w:val="0"/>
        </w:rPr>
      </w:pPr>
    </w:p>
    <w:p>
      <w:pPr>
        <w:pStyle w:val="9"/>
        <w:widowControl w:val="0"/>
        <w:spacing w:line="420" w:lineRule="exact"/>
        <w:rPr>
          <w:rFonts w:ascii="黑体" w:hAnsi="黑体" w:eastAsia="黑体"/>
        </w:rPr>
      </w:pPr>
      <w:r>
        <w:rPr>
          <w:rFonts w:hint="eastAsia" w:ascii="黑体" w:hAnsi="黑体" w:eastAsia="黑体"/>
          <w:b w:val="0"/>
        </w:rPr>
        <w:t>第二章</w:t>
      </w:r>
      <w:r>
        <w:rPr>
          <w:rFonts w:ascii="黑体" w:hAnsi="黑体" w:eastAsia="黑体"/>
          <w:b w:val="0"/>
        </w:rPr>
        <w:t xml:space="preserve">  </w:t>
      </w:r>
      <w:bookmarkEnd w:id="38"/>
      <w:bookmarkEnd w:id="39"/>
      <w:bookmarkEnd w:id="40"/>
      <w:bookmarkEnd w:id="41"/>
      <w:bookmarkEnd w:id="42"/>
      <w:bookmarkEnd w:id="43"/>
      <w:bookmarkEnd w:id="44"/>
      <w:bookmarkEnd w:id="45"/>
      <w:bookmarkEnd w:id="46"/>
      <w:bookmarkStart w:id="47" w:name="_Toc6992"/>
      <w:bookmarkStart w:id="48" w:name="_Toc15663"/>
      <w:r>
        <w:rPr>
          <w:rFonts w:hint="eastAsia" w:ascii="黑体" w:hAnsi="黑体" w:eastAsia="黑体"/>
        </w:rPr>
        <w:t>“十四五”时期经济社会发展方向及总体要求</w:t>
      </w:r>
      <w:bookmarkEnd w:id="47"/>
      <w:bookmarkEnd w:id="48"/>
    </w:p>
    <w:p>
      <w:pPr>
        <w:pStyle w:val="9"/>
        <w:widowControl w:val="0"/>
        <w:spacing w:line="580" w:lineRule="exact"/>
        <w:outlineLvl w:val="1"/>
        <w:rPr>
          <w:rFonts w:ascii="楷体" w:hAnsi="楷体" w:eastAsia="楷体"/>
          <w:color w:val="FF0000"/>
        </w:rPr>
      </w:pPr>
      <w:bookmarkStart w:id="49" w:name="_Toc17667"/>
      <w:bookmarkStart w:id="50" w:name="_Toc7181"/>
      <w:bookmarkStart w:id="51" w:name="_Toc2574"/>
      <w:bookmarkStart w:id="52" w:name="_Toc27953"/>
      <w:bookmarkStart w:id="53" w:name="_Toc2533"/>
      <w:bookmarkStart w:id="54" w:name="_Toc28046"/>
      <w:bookmarkStart w:id="55" w:name="_Toc26881"/>
      <w:bookmarkStart w:id="56" w:name="_Toc56346917"/>
      <w:bookmarkStart w:id="57" w:name="_Toc27802"/>
      <w:bookmarkStart w:id="58" w:name="_Toc8796"/>
      <w:bookmarkStart w:id="59" w:name="_Toc31956"/>
      <w:r>
        <w:rPr>
          <w:rFonts w:hint="eastAsia" w:ascii="楷体" w:hAnsi="楷体" w:eastAsia="楷体"/>
          <w:color w:val="FF0000"/>
        </w:rPr>
        <w:t>第一节</w:t>
      </w:r>
      <w:r>
        <w:rPr>
          <w:rFonts w:ascii="楷体" w:hAnsi="楷体" w:eastAsia="楷体"/>
          <w:color w:val="FF0000"/>
        </w:rPr>
        <w:t xml:space="preserve">  </w:t>
      </w:r>
      <w:r>
        <w:rPr>
          <w:rFonts w:hint="eastAsia" w:ascii="楷体" w:hAnsi="楷体" w:eastAsia="楷体"/>
          <w:color w:val="FF0000"/>
        </w:rPr>
        <w:t>指导思想</w:t>
      </w:r>
      <w:bookmarkEnd w:id="49"/>
      <w:bookmarkEnd w:id="50"/>
      <w:bookmarkEnd w:id="51"/>
      <w:bookmarkEnd w:id="52"/>
      <w:bookmarkEnd w:id="53"/>
      <w:bookmarkEnd w:id="54"/>
      <w:bookmarkEnd w:id="55"/>
      <w:bookmarkEnd w:id="56"/>
      <w:bookmarkEnd w:id="57"/>
      <w:bookmarkEnd w:id="58"/>
      <w:bookmarkEnd w:id="59"/>
    </w:p>
    <w:p>
      <w:pPr>
        <w:widowControl w:val="0"/>
        <w:spacing w:line="560" w:lineRule="exact"/>
        <w:ind w:firstLine="640" w:firstLineChars="200"/>
        <w:rPr>
          <w:rFonts w:ascii="Times New Roman" w:hAnsi="Times New Roman" w:eastAsia="仿宋_GB2312" w:cs="仿宋_GB2312"/>
          <w:color w:val="FF0000"/>
          <w:sz w:val="32"/>
          <w:szCs w:val="32"/>
        </w:rPr>
      </w:pPr>
      <w:r>
        <w:rPr>
          <w:rFonts w:hint="eastAsia" w:ascii="Times New Roman" w:hAnsi="Times New Roman" w:eastAsia="仿宋_GB2312" w:cs="仿宋_GB2312"/>
          <w:color w:val="FF0000"/>
          <w:sz w:val="32"/>
          <w:szCs w:val="32"/>
        </w:rPr>
        <w:t>高举中国特色社会主义伟大旗帜，深入贯彻党的十九大和十九届二中、三中、四中、五中全会和省委七届九次全会精神，坚持以马克思列宁主义、毛泽东思想、邓小平理论、“三个代表”重要思想、科学发展观、习近平新时代中国特色社会主义思想为指导，统筹推进“五位一体”总体布局，协调推进“四个全面”战略布局，坚定不移贯彻创新、协调、绿色、开放、共享的新发展理念，以推动高质量发展为主题，以深化供给侧结构性改革为主线，以改革创新为根本动力，以满足人民日益增长的美好生活需要为根本目的，紧紧抓住建设海南自由贸易港的历史机遇，统筹发展和安全，把制度集成创新摆在突出位置，围绕海南整体战略定位和结合琼海特色，着力推进“三地两区一中心”建设，推动高质量发展、高水平开放，有效服务国内国际双循环。推进治理体系和治理能力现代化，实现经济行稳致远、社会安定和谐，全面建设现代化国际化的海南东部中心城市、打造海南经济社会发展第四极，争创新时代中国特色社会主义生动范例。</w:t>
      </w:r>
    </w:p>
    <w:p>
      <w:pPr>
        <w:pStyle w:val="9"/>
        <w:widowControl w:val="0"/>
        <w:spacing w:line="580" w:lineRule="exact"/>
        <w:outlineLvl w:val="1"/>
        <w:rPr>
          <w:rFonts w:ascii="楷体" w:hAnsi="楷体" w:eastAsia="楷体"/>
        </w:rPr>
      </w:pPr>
      <w:bookmarkStart w:id="60" w:name="_Toc2353"/>
      <w:bookmarkStart w:id="61" w:name="_Toc29622"/>
      <w:bookmarkStart w:id="62" w:name="_Toc2330"/>
      <w:bookmarkStart w:id="63" w:name="_Toc31049"/>
      <w:bookmarkStart w:id="64" w:name="_Toc29909"/>
      <w:bookmarkStart w:id="65" w:name="_Toc9027"/>
      <w:bookmarkStart w:id="66" w:name="_Toc24763"/>
      <w:bookmarkStart w:id="67" w:name="_Toc26120"/>
      <w:bookmarkStart w:id="68" w:name="_Toc25250"/>
      <w:bookmarkStart w:id="69" w:name="_Toc56346918"/>
      <w:bookmarkStart w:id="70" w:name="_Toc12001"/>
      <w:r>
        <w:rPr>
          <w:rFonts w:hint="eastAsia" w:ascii="楷体" w:hAnsi="楷体" w:eastAsia="楷体"/>
        </w:rPr>
        <w:t>第二节</w:t>
      </w:r>
      <w:r>
        <w:rPr>
          <w:rFonts w:ascii="楷体" w:hAnsi="楷体" w:eastAsia="楷体"/>
        </w:rPr>
        <w:t xml:space="preserve">  </w:t>
      </w:r>
      <w:r>
        <w:rPr>
          <w:rFonts w:hint="eastAsia" w:ascii="楷体" w:hAnsi="楷体" w:eastAsia="楷体"/>
        </w:rPr>
        <w:t>基本原则</w:t>
      </w:r>
      <w:bookmarkEnd w:id="60"/>
      <w:bookmarkEnd w:id="61"/>
      <w:bookmarkEnd w:id="62"/>
      <w:bookmarkEnd w:id="63"/>
      <w:bookmarkEnd w:id="64"/>
      <w:bookmarkEnd w:id="65"/>
      <w:bookmarkEnd w:id="66"/>
      <w:bookmarkEnd w:id="67"/>
      <w:bookmarkEnd w:id="68"/>
      <w:bookmarkEnd w:id="69"/>
      <w:bookmarkEnd w:id="70"/>
    </w:p>
    <w:p>
      <w:pPr>
        <w:widowControl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解放思想，敢闯敢试，大胆创新，以思想破冰引领改革突围，奋力推进中国特色自由贸易港建设，琼海必须遵循以下基本原则。</w:t>
      </w:r>
    </w:p>
    <w:p>
      <w:pPr>
        <w:widowControl w:val="0"/>
        <w:spacing w:line="600" w:lineRule="exact"/>
        <w:ind w:firstLine="642" w:firstLineChars="200"/>
        <w:rPr>
          <w:rFonts w:ascii="Times New Roman" w:hAnsi="Times New Roman" w:eastAsia="仿宋_GB2312" w:cs="仿宋_GB2312"/>
          <w:sz w:val="32"/>
          <w:szCs w:val="32"/>
        </w:rPr>
      </w:pPr>
      <w:r>
        <w:rPr>
          <w:rFonts w:hint="eastAsia" w:ascii="楷体" w:hAnsi="楷体" w:eastAsia="楷体" w:cs="楷体"/>
          <w:b/>
          <w:bCs/>
          <w:sz w:val="32"/>
          <w:szCs w:val="32"/>
        </w:rPr>
        <w:t>坚持党的全面领导。</w:t>
      </w:r>
      <w:r>
        <w:rPr>
          <w:rFonts w:hint="eastAsia" w:ascii="Times New Roman" w:hAnsi="Times New Roman" w:eastAsia="仿宋_GB2312" w:cs="仿宋_GB2312"/>
          <w:sz w:val="32"/>
          <w:szCs w:val="32"/>
        </w:rPr>
        <w:t>坚持和完善党领导经济社会发展的体制机制，充分发挥上下一盘棋和集中力量办大事的制度优势，不断提高贯彻新发展理念、构建新发展格局的能力和水平，为实现高质量发展提供根本保证。</w:t>
      </w:r>
    </w:p>
    <w:p>
      <w:pPr>
        <w:widowControl w:val="0"/>
        <w:spacing w:line="600" w:lineRule="exact"/>
        <w:ind w:firstLine="642" w:firstLineChars="200"/>
        <w:rPr>
          <w:rFonts w:ascii="Times New Roman" w:hAnsi="Times New Roman" w:eastAsia="仿宋_GB2312" w:cs="仿宋_GB2312"/>
          <w:sz w:val="32"/>
          <w:szCs w:val="32"/>
        </w:rPr>
      </w:pPr>
      <w:r>
        <w:rPr>
          <w:rFonts w:hint="eastAsia" w:ascii="楷体" w:hAnsi="楷体" w:eastAsia="楷体" w:cs="楷体"/>
          <w:b/>
          <w:bCs/>
          <w:sz w:val="32"/>
          <w:szCs w:val="32"/>
        </w:rPr>
        <w:t>坚持以人民为中心。</w:t>
      </w:r>
      <w:r>
        <w:rPr>
          <w:rFonts w:hint="eastAsia" w:ascii="Times New Roman" w:hAnsi="Times New Roman" w:eastAsia="仿宋_GB2312" w:cs="仿宋_GB2312"/>
          <w:sz w:val="32"/>
          <w:szCs w:val="32"/>
        </w:rPr>
        <w:t>坚持人民主体地位，推动全市人民共同富裕，始终做到发展为了人民、发展依靠人民、发展成果由人民共享，维护人民根本利益，不断实现人民对美好生活的向往。</w:t>
      </w:r>
    </w:p>
    <w:p>
      <w:pPr>
        <w:widowControl w:val="0"/>
        <w:spacing w:line="600" w:lineRule="exact"/>
        <w:ind w:firstLine="642" w:firstLineChars="200"/>
        <w:rPr>
          <w:rFonts w:ascii="Times New Roman" w:hAnsi="Times New Roman" w:eastAsia="仿宋_GB2312" w:cs="仿宋_GB2312"/>
          <w:sz w:val="32"/>
          <w:szCs w:val="32"/>
        </w:rPr>
      </w:pPr>
      <w:r>
        <w:rPr>
          <w:rFonts w:hint="eastAsia" w:ascii="楷体" w:hAnsi="楷体" w:eastAsia="楷体" w:cs="楷体"/>
          <w:b/>
          <w:bCs/>
          <w:sz w:val="32"/>
          <w:szCs w:val="32"/>
        </w:rPr>
        <w:t>坚持新发展理念。</w:t>
      </w:r>
      <w:r>
        <w:rPr>
          <w:rFonts w:hint="eastAsia" w:ascii="Times New Roman" w:hAnsi="Times New Roman" w:eastAsia="仿宋_GB2312" w:cs="仿宋_GB2312"/>
          <w:sz w:val="32"/>
          <w:szCs w:val="32"/>
        </w:rPr>
        <w:t>把新发展理念贯穿琼海市建设全过程和各领域，推进创新、协调、绿色、开放、共享发展，实现更高质量、更有效率、更加公平、更可持续、更为安全的发展。</w:t>
      </w:r>
    </w:p>
    <w:p>
      <w:pPr>
        <w:widowControl w:val="0"/>
        <w:spacing w:line="600" w:lineRule="exact"/>
        <w:ind w:firstLine="642" w:firstLineChars="200"/>
        <w:rPr>
          <w:rFonts w:ascii="Times New Roman" w:hAnsi="Times New Roman" w:eastAsia="仿宋_GB2312" w:cs="仿宋_GB2312"/>
          <w:sz w:val="32"/>
          <w:szCs w:val="32"/>
        </w:rPr>
      </w:pPr>
      <w:r>
        <w:rPr>
          <w:rFonts w:hint="eastAsia" w:ascii="楷体" w:hAnsi="楷体" w:eastAsia="楷体" w:cs="楷体"/>
          <w:b/>
          <w:bCs/>
          <w:sz w:val="32"/>
          <w:szCs w:val="32"/>
        </w:rPr>
        <w:t>坚持深化改革开放。</w:t>
      </w:r>
      <w:r>
        <w:rPr>
          <w:rFonts w:hint="eastAsia" w:ascii="仿宋_GB2312" w:hAnsi="仿宋_GB2312" w:eastAsia="仿宋_GB2312" w:cs="仿宋_GB2312"/>
          <w:sz w:val="32"/>
          <w:szCs w:val="32"/>
        </w:rPr>
        <w:t>充分发挥市场在资源配置中的决定性作用，更好发挥政府作用，运用好“制度创新+优惠政策+法治规则”的重要安排，敢闯敢试、先行先试，以高水平开放带动改革全面深化。</w:t>
      </w:r>
    </w:p>
    <w:p>
      <w:pPr>
        <w:widowControl w:val="0"/>
        <w:spacing w:line="600" w:lineRule="exact"/>
        <w:ind w:firstLine="626" w:firstLineChars="195"/>
        <w:rPr>
          <w:rFonts w:ascii="楷体" w:hAnsi="楷体" w:eastAsia="楷体" w:cs="Times New Roman"/>
          <w:b/>
          <w:sz w:val="32"/>
          <w:szCs w:val="32"/>
        </w:rPr>
      </w:pPr>
      <w:r>
        <w:rPr>
          <w:rFonts w:hint="eastAsia" w:ascii="楷体" w:hAnsi="楷体" w:eastAsia="楷体" w:cs="楷体"/>
          <w:b/>
          <w:bCs/>
          <w:sz w:val="32"/>
          <w:szCs w:val="32"/>
        </w:rPr>
        <w:t>坚持系统观念。</w:t>
      </w:r>
      <w:r>
        <w:rPr>
          <w:rFonts w:hint="eastAsia" w:ascii="Times New Roman" w:hAnsi="Times New Roman" w:eastAsia="仿宋_GB2312" w:cs="仿宋_GB2312"/>
          <w:sz w:val="32"/>
          <w:szCs w:val="32"/>
        </w:rPr>
        <w:t>把握区域中心城市发展规律，加强前瞻性思考、全局性谋划、战略性布局、整体性推进，加强统筹协调、联动协作、协同发展，调动各方面积极性和创造性，着力固根基、扬优势、补短板、强弱项，注重防范化解重大风险挑战，实现发展质量、结构、规模、速度、效益、安全相统一。</w:t>
      </w:r>
    </w:p>
    <w:p>
      <w:pPr>
        <w:pStyle w:val="9"/>
        <w:widowControl w:val="0"/>
        <w:spacing w:line="600" w:lineRule="exact"/>
        <w:outlineLvl w:val="1"/>
        <w:rPr>
          <w:rFonts w:ascii="楷体" w:hAnsi="楷体" w:eastAsia="楷体"/>
        </w:rPr>
      </w:pPr>
      <w:bookmarkStart w:id="71" w:name="_Toc3370"/>
      <w:bookmarkStart w:id="72" w:name="_Toc27553"/>
      <w:bookmarkStart w:id="73" w:name="_Toc13385"/>
      <w:bookmarkStart w:id="74" w:name="_Toc23016003"/>
      <w:bookmarkStart w:id="75" w:name="_Toc5541"/>
      <w:bookmarkStart w:id="76" w:name="_Toc22377"/>
      <w:bookmarkStart w:id="77" w:name="_Toc19879"/>
      <w:bookmarkStart w:id="78" w:name="_Toc15021"/>
      <w:bookmarkStart w:id="79" w:name="_Toc17132"/>
      <w:bookmarkStart w:id="80" w:name="_Toc26810"/>
      <w:bookmarkStart w:id="81" w:name="_Toc5430"/>
      <w:bookmarkStart w:id="82" w:name="_Toc56346919"/>
      <w:r>
        <w:rPr>
          <w:rFonts w:hint="eastAsia" w:ascii="楷体" w:hAnsi="楷体" w:eastAsia="楷体"/>
        </w:rPr>
        <w:t>第三节</w:t>
      </w:r>
      <w:r>
        <w:rPr>
          <w:rFonts w:ascii="楷体" w:hAnsi="楷体" w:eastAsia="楷体"/>
        </w:rPr>
        <w:t xml:space="preserve">  </w:t>
      </w:r>
      <w:r>
        <w:rPr>
          <w:rFonts w:hint="eastAsia" w:ascii="楷体" w:hAnsi="楷体" w:eastAsia="楷体"/>
        </w:rPr>
        <w:t>战略导向</w:t>
      </w:r>
      <w:bookmarkEnd w:id="71"/>
      <w:bookmarkEnd w:id="72"/>
      <w:bookmarkEnd w:id="73"/>
      <w:bookmarkEnd w:id="74"/>
      <w:bookmarkEnd w:id="75"/>
      <w:bookmarkEnd w:id="76"/>
      <w:bookmarkEnd w:id="77"/>
      <w:bookmarkEnd w:id="78"/>
      <w:bookmarkEnd w:id="79"/>
      <w:bookmarkEnd w:id="80"/>
      <w:bookmarkEnd w:id="81"/>
      <w:bookmarkEnd w:id="82"/>
    </w:p>
    <w:p>
      <w:pPr>
        <w:widowControl w:val="0"/>
        <w:spacing w:line="600" w:lineRule="exact"/>
        <w:ind w:firstLine="624" w:firstLineChars="195"/>
        <w:rPr>
          <w:rFonts w:ascii="仿宋_GB2312" w:hAnsi="仿宋_GB2312" w:eastAsia="仿宋_GB2312" w:cs="仿宋_GB2312"/>
          <w:sz w:val="32"/>
          <w:szCs w:val="32"/>
        </w:rPr>
      </w:pPr>
      <w:r>
        <w:rPr>
          <w:rFonts w:hint="eastAsia" w:ascii="仿宋_GB2312" w:hAnsi="仿宋_GB2312" w:eastAsia="仿宋_GB2312" w:cs="仿宋_GB2312"/>
          <w:sz w:val="32"/>
          <w:szCs w:val="32"/>
        </w:rPr>
        <w:t>“十四五”期间，以推进琼海“三地两区一中心”建设为战略导向，引领全市经济社会高质量发展，争当海南自由贸易港建设排头兵。</w:t>
      </w:r>
    </w:p>
    <w:p>
      <w:pPr>
        <w:widowControl w:val="0"/>
        <w:spacing w:line="580" w:lineRule="exact"/>
        <w:ind w:firstLine="620" w:firstLineChars="193"/>
        <w:rPr>
          <w:rFonts w:ascii="仿宋_GB2312" w:hAnsi="仿宋_GB2312" w:eastAsia="仿宋_GB2312" w:cs="仿宋_GB2312"/>
          <w:sz w:val="32"/>
          <w:szCs w:val="32"/>
        </w:rPr>
      </w:pPr>
      <w:r>
        <w:rPr>
          <w:rFonts w:hint="eastAsia" w:ascii="楷体" w:hAnsi="楷体" w:eastAsia="楷体" w:cs="Times New Roman"/>
          <w:b/>
          <w:sz w:val="32"/>
          <w:szCs w:val="32"/>
        </w:rPr>
        <w:t>高质量建设国际医疗健康产业新高地。</w:t>
      </w:r>
      <w:r>
        <w:rPr>
          <w:rFonts w:hint="eastAsia" w:ascii="仿宋_GB2312" w:hAnsi="仿宋_GB2312" w:eastAsia="仿宋_GB2312" w:cs="仿宋_GB2312"/>
          <w:sz w:val="32"/>
          <w:szCs w:val="32"/>
        </w:rPr>
        <w:t>集中力量做好博鳌乐城国际医疗旅游先行区建设的服务保障工作，推进乐城先行区与嘉积镇、博鳌镇、中原镇产城研融合，支持发展服务于乐城先行区的生物医疗科研、仓储、物流等生产性服务业，教育文化等生活性服务业，为先行区创造优质的生产和生活环境。</w:t>
      </w:r>
      <w:r>
        <w:rPr>
          <w:rFonts w:ascii="仿宋_GB2312" w:hAnsi="仿宋_GB2312" w:eastAsia="仿宋_GB2312" w:cs="仿宋_GB2312"/>
          <w:sz w:val="32"/>
          <w:szCs w:val="32"/>
        </w:rPr>
        <w:t xml:space="preserve">  </w:t>
      </w:r>
    </w:p>
    <w:p>
      <w:pPr>
        <w:widowControl w:val="0"/>
        <w:spacing w:line="580" w:lineRule="exact"/>
        <w:ind w:firstLine="620" w:firstLineChars="193"/>
        <w:rPr>
          <w:rFonts w:ascii="仿宋_GB2312" w:hAnsi="仿宋_GB2312" w:eastAsia="仿宋_GB2312" w:cs="仿宋_GB2312"/>
          <w:sz w:val="32"/>
          <w:szCs w:val="32"/>
        </w:rPr>
      </w:pPr>
      <w:r>
        <w:rPr>
          <w:rFonts w:hint="eastAsia" w:ascii="楷体" w:hAnsi="楷体" w:eastAsia="楷体" w:cs="Times New Roman"/>
          <w:b/>
          <w:sz w:val="32"/>
          <w:szCs w:val="32"/>
        </w:rPr>
        <w:t>高质量建设国际旅游会展目的地。</w:t>
      </w:r>
      <w:r>
        <w:rPr>
          <w:rFonts w:hint="eastAsia" w:ascii="仿宋_GB2312" w:hAnsi="仿宋_GB2312" w:eastAsia="仿宋_GB2312" w:cs="仿宋_GB2312"/>
          <w:sz w:val="32"/>
          <w:szCs w:val="32"/>
        </w:rPr>
        <w:t>围绕建设博鳌“</w:t>
      </w:r>
      <w:r>
        <w:rPr>
          <w:rFonts w:ascii="仿宋_GB2312" w:hAnsi="仿宋_GB2312" w:eastAsia="仿宋_GB2312" w:cs="仿宋_GB2312"/>
          <w:sz w:val="32"/>
          <w:szCs w:val="32"/>
        </w:rPr>
        <w:t>4+365”永不落幕的国际会展之都，营造非正式、舒适、和谐的</w:t>
      </w:r>
      <w:r>
        <w:rPr>
          <w:rFonts w:hint="eastAsia" w:ascii="Times New Roman" w:hAnsi="Times New Roman" w:eastAsia="仿宋_GB2312" w:cs="仿宋_GB2312"/>
          <w:sz w:val="32"/>
          <w:szCs w:val="32"/>
        </w:rPr>
        <w:t>会议</w:t>
      </w:r>
      <w:r>
        <w:rPr>
          <w:rFonts w:ascii="仿宋_GB2312" w:hAnsi="仿宋_GB2312" w:eastAsia="仿宋_GB2312" w:cs="仿宋_GB2312"/>
          <w:sz w:val="32"/>
          <w:szCs w:val="32"/>
        </w:rPr>
        <w:t>氛围，增强以博鳌为</w:t>
      </w:r>
      <w:r>
        <w:rPr>
          <w:rFonts w:hint="eastAsia" w:ascii="仿宋_GB2312" w:hAnsi="仿宋_GB2312" w:eastAsia="仿宋_GB2312" w:cs="仿宋_GB2312"/>
          <w:sz w:val="32"/>
          <w:szCs w:val="32"/>
        </w:rPr>
        <w:t>核心</w:t>
      </w:r>
      <w:r>
        <w:rPr>
          <w:rFonts w:ascii="仿宋_GB2312" w:hAnsi="仿宋_GB2312" w:eastAsia="仿宋_GB2312" w:cs="仿宋_GB2312"/>
          <w:sz w:val="32"/>
          <w:szCs w:val="32"/>
        </w:rPr>
        <w:t>的会议综合承载能力，创新会展发展体制机制，推动会展与休闲度假、医疗康养、免税购物等产业深度融合发展</w:t>
      </w:r>
      <w:r>
        <w:rPr>
          <w:rFonts w:hint="eastAsia" w:ascii="仿宋_GB2312" w:hAnsi="仿宋_GB2312" w:eastAsia="仿宋_GB2312" w:cs="仿宋_GB2312"/>
          <w:sz w:val="32"/>
          <w:szCs w:val="32"/>
        </w:rPr>
        <w:t>，打造“国际会展</w:t>
      </w:r>
      <w:r>
        <w:rPr>
          <w:rFonts w:ascii="仿宋_GB2312" w:hAnsi="仿宋_GB2312" w:eastAsia="仿宋_GB2312" w:cs="仿宋_GB2312"/>
          <w:sz w:val="32"/>
          <w:szCs w:val="32"/>
        </w:rPr>
        <w:t>+”产业</w:t>
      </w:r>
      <w:r>
        <w:rPr>
          <w:rFonts w:hint="eastAsia" w:ascii="仿宋_GB2312" w:hAnsi="仿宋_GB2312" w:eastAsia="仿宋_GB2312" w:cs="仿宋_GB2312"/>
          <w:sz w:val="32"/>
          <w:szCs w:val="32"/>
        </w:rPr>
        <w:t>链</w:t>
      </w:r>
      <w:r>
        <w:rPr>
          <w:rFonts w:ascii="仿宋_GB2312" w:hAnsi="仿宋_GB2312" w:eastAsia="仿宋_GB2312" w:cs="仿宋_GB2312"/>
          <w:sz w:val="32"/>
          <w:szCs w:val="32"/>
        </w:rPr>
        <w:t>。</w:t>
      </w:r>
    </w:p>
    <w:p>
      <w:pPr>
        <w:widowControl w:val="0"/>
        <w:spacing w:line="580" w:lineRule="exact"/>
        <w:ind w:firstLine="620" w:firstLineChars="193"/>
        <w:rPr>
          <w:rFonts w:ascii="仿宋_GB2312" w:hAnsi="仿宋_GB2312" w:eastAsia="仿宋_GB2312" w:cs="仿宋_GB2312"/>
          <w:sz w:val="32"/>
          <w:szCs w:val="32"/>
        </w:rPr>
      </w:pPr>
      <w:r>
        <w:rPr>
          <w:rFonts w:hint="eastAsia" w:ascii="楷体" w:hAnsi="楷体" w:eastAsia="楷体" w:cs="Times New Roman"/>
          <w:b/>
          <w:sz w:val="32"/>
          <w:szCs w:val="32"/>
        </w:rPr>
        <w:t>高质量建设国际公共外交基地。</w:t>
      </w:r>
      <w:r>
        <w:rPr>
          <w:rFonts w:hint="eastAsia" w:ascii="仿宋_GB2312" w:hAnsi="仿宋_GB2312" w:eastAsia="仿宋_GB2312" w:cs="仿宋_GB2312"/>
          <w:sz w:val="32"/>
          <w:szCs w:val="32"/>
        </w:rPr>
        <w:t>在更高水平上服务好博鳌亚洲论坛，吸引国际境外机构落户博鳌地区，建设国家重要的政商对话和“一带一路”共建平台，搭建党政机关、学校、企业事业单位积极参与国际公共外交基地平台。</w:t>
      </w:r>
    </w:p>
    <w:p>
      <w:pPr>
        <w:widowControl w:val="0"/>
        <w:spacing w:line="580" w:lineRule="exact"/>
        <w:ind w:firstLine="620" w:firstLineChars="193"/>
        <w:rPr>
          <w:rFonts w:ascii="仿宋_GB2312" w:hAnsi="仿宋_GB2312" w:eastAsia="仿宋_GB2312" w:cs="仿宋_GB2312"/>
          <w:sz w:val="32"/>
          <w:szCs w:val="32"/>
        </w:rPr>
      </w:pPr>
      <w:r>
        <w:rPr>
          <w:rFonts w:hint="eastAsia" w:ascii="楷体" w:hAnsi="楷体" w:eastAsia="楷体" w:cs="Times New Roman"/>
          <w:b/>
          <w:sz w:val="32"/>
          <w:szCs w:val="32"/>
        </w:rPr>
        <w:t>高质量建设国家乡村振兴战略示范区。</w:t>
      </w:r>
      <w:r>
        <w:rPr>
          <w:rFonts w:hint="eastAsia" w:ascii="仿宋_GB2312" w:hAnsi="仿宋_GB2312" w:eastAsia="仿宋_GB2312" w:cs="仿宋_GB2312"/>
          <w:sz w:val="32"/>
          <w:szCs w:val="32"/>
        </w:rPr>
        <w:t>以博鳌美丽乡村为标杆，把“盆景”变成“苗圃”，把“苗圃”变成“森林”，打造海南实施乡村振兴战略的琼海样板，成为实施乡村振兴战略的国家示范品牌。</w:t>
      </w:r>
    </w:p>
    <w:p>
      <w:pPr>
        <w:widowControl w:val="0"/>
        <w:spacing w:line="580" w:lineRule="exact"/>
        <w:ind w:firstLine="620" w:firstLineChars="193"/>
        <w:rPr>
          <w:rFonts w:ascii="仿宋_GB2312" w:hAnsi="仿宋_GB2312" w:eastAsia="仿宋_GB2312" w:cs="仿宋_GB2312"/>
          <w:sz w:val="32"/>
          <w:szCs w:val="32"/>
        </w:rPr>
      </w:pPr>
      <w:r>
        <w:rPr>
          <w:rFonts w:hint="eastAsia" w:ascii="楷体" w:hAnsi="楷体" w:eastAsia="楷体" w:cs="Times New Roman"/>
          <w:b/>
          <w:sz w:val="32"/>
          <w:szCs w:val="32"/>
        </w:rPr>
        <w:t>高质量建设国家生态文明战略示范区。</w:t>
      </w:r>
      <w:r>
        <w:rPr>
          <w:rFonts w:hint="eastAsia" w:ascii="仿宋_GB2312" w:hAnsi="仿宋_GB2312" w:eastAsia="仿宋_GB2312" w:cs="仿宋_GB2312"/>
          <w:sz w:val="32"/>
          <w:szCs w:val="32"/>
        </w:rPr>
        <w:t>倍加珍惜、精心呵护琼海得天独厚的热带田园风光和生态环境资源，坚持实行最严格的生态环境保护制度，建设生态文明体制改革样板区、陆海统筹保护发展实践区、生态价值实现机制试验区、清洁能源优先发展示范区。</w:t>
      </w:r>
    </w:p>
    <w:p>
      <w:pPr>
        <w:widowControl w:val="0"/>
        <w:spacing w:line="580" w:lineRule="exact"/>
        <w:ind w:firstLine="620" w:firstLineChars="193"/>
        <w:rPr>
          <w:rFonts w:ascii="仿宋" w:hAnsi="仿宋" w:eastAsia="仿宋" w:cs="仿宋"/>
          <w:sz w:val="32"/>
          <w:szCs w:val="32"/>
        </w:rPr>
      </w:pPr>
      <w:r>
        <w:rPr>
          <w:rFonts w:hint="eastAsia" w:ascii="楷体" w:hAnsi="楷体" w:eastAsia="楷体" w:cs="Times New Roman"/>
          <w:b/>
          <w:sz w:val="32"/>
          <w:szCs w:val="32"/>
        </w:rPr>
        <w:t>高质量建设国际经济文化合作交流中心。</w:t>
      </w:r>
      <w:r>
        <w:rPr>
          <w:rFonts w:hint="eastAsia" w:ascii="仿宋_GB2312" w:hAnsi="仿宋_GB2312" w:eastAsia="仿宋_GB2312" w:cs="仿宋_GB2312"/>
          <w:sz w:val="32"/>
          <w:szCs w:val="32"/>
        </w:rPr>
        <w:t>充分利用好国际交流平台和产业功能平台及丰富的侨乡资源，开展务实高效的文化交流合作，服务国家海洋强国战略、“一带一路”</w:t>
      </w:r>
      <w:r>
        <w:rPr>
          <w:rFonts w:hint="eastAsia" w:ascii="Times New Roman" w:hAnsi="Times New Roman" w:eastAsia="仿宋_GB2312" w:cs="仿宋_GB2312"/>
          <w:sz w:val="32"/>
          <w:szCs w:val="32"/>
        </w:rPr>
        <w:t>倡议</w:t>
      </w:r>
      <w:r>
        <w:rPr>
          <w:rFonts w:hint="eastAsia" w:ascii="仿宋_GB2312" w:hAnsi="仿宋_GB2312" w:eastAsia="仿宋_GB2312" w:cs="仿宋_GB2312"/>
          <w:sz w:val="32"/>
          <w:szCs w:val="32"/>
        </w:rPr>
        <w:t>和琼海经济社会发展。</w:t>
      </w:r>
    </w:p>
    <w:p>
      <w:pPr>
        <w:pStyle w:val="9"/>
        <w:widowControl w:val="0"/>
        <w:outlineLvl w:val="1"/>
        <w:rPr>
          <w:rFonts w:ascii="楷体" w:hAnsi="楷体" w:eastAsia="楷体" w:cs="楷体"/>
          <w:color w:val="FF0000"/>
        </w:rPr>
      </w:pPr>
      <w:bookmarkStart w:id="83" w:name="_Toc10821"/>
      <w:bookmarkStart w:id="84" w:name="_Toc2133"/>
      <w:bookmarkStart w:id="85" w:name="_Toc32650"/>
      <w:bookmarkStart w:id="86" w:name="_Toc9407"/>
      <w:bookmarkStart w:id="87" w:name="_Toc27246"/>
      <w:bookmarkStart w:id="88" w:name="_Toc16824"/>
      <w:bookmarkStart w:id="89" w:name="_Toc56346920"/>
      <w:bookmarkStart w:id="90" w:name="_Toc2777"/>
      <w:bookmarkStart w:id="91" w:name="_Toc24172"/>
      <w:bookmarkStart w:id="92" w:name="_Toc13341"/>
      <w:bookmarkStart w:id="93" w:name="_Toc14492"/>
      <w:r>
        <w:rPr>
          <w:rFonts w:hint="eastAsia" w:ascii="楷体" w:hAnsi="楷体" w:eastAsia="楷体" w:cs="楷体"/>
          <w:color w:val="FF0000"/>
        </w:rPr>
        <w:t>第四节</w:t>
      </w:r>
      <w:r>
        <w:rPr>
          <w:rFonts w:ascii="楷体" w:hAnsi="楷体" w:eastAsia="楷体" w:cs="楷体"/>
          <w:color w:val="FF0000"/>
        </w:rPr>
        <w:t xml:space="preserve">  </w:t>
      </w:r>
      <w:r>
        <w:rPr>
          <w:rFonts w:hint="eastAsia" w:ascii="楷体" w:hAnsi="楷体" w:eastAsia="楷体" w:cs="楷体"/>
          <w:color w:val="FF0000"/>
        </w:rPr>
        <w:t>战略格局</w:t>
      </w:r>
      <w:bookmarkEnd w:id="83"/>
      <w:bookmarkEnd w:id="84"/>
      <w:bookmarkEnd w:id="85"/>
      <w:bookmarkEnd w:id="86"/>
      <w:bookmarkEnd w:id="87"/>
      <w:bookmarkEnd w:id="88"/>
      <w:bookmarkEnd w:id="89"/>
      <w:bookmarkEnd w:id="90"/>
      <w:bookmarkEnd w:id="91"/>
      <w:bookmarkEnd w:id="92"/>
      <w:bookmarkEnd w:id="93"/>
    </w:p>
    <w:p>
      <w:pPr>
        <w:widowControl w:val="0"/>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深入推进</w:t>
      </w:r>
      <w:r>
        <w:rPr>
          <w:rFonts w:hint="eastAsia" w:ascii="Times New Roman" w:hAnsi="Times New Roman" w:eastAsia="仿宋_GB2312" w:cs="仿宋_GB2312"/>
          <w:color w:val="FF0000"/>
          <w:sz w:val="32"/>
          <w:szCs w:val="32"/>
        </w:rPr>
        <w:t>海南</w:t>
      </w:r>
      <w:r>
        <w:rPr>
          <w:rFonts w:hint="eastAsia" w:ascii="仿宋_GB2312" w:hAnsi="仿宋_GB2312" w:eastAsia="仿宋_GB2312" w:cs="仿宋_GB2312"/>
          <w:color w:val="FF0000"/>
          <w:sz w:val="32"/>
          <w:szCs w:val="32"/>
        </w:rPr>
        <w:t>东部中心城市建设，</w:t>
      </w:r>
      <w:r>
        <w:rPr>
          <w:rFonts w:hint="eastAsia" w:ascii="Times New Roman" w:hAnsi="Times New Roman" w:eastAsia="仿宋_GB2312" w:cs="仿宋_GB2312"/>
          <w:color w:val="FF0000"/>
          <w:sz w:val="32"/>
          <w:szCs w:val="32"/>
        </w:rPr>
        <w:t>全面增强</w:t>
      </w:r>
      <w:r>
        <w:rPr>
          <w:rFonts w:hint="eastAsia" w:ascii="仿宋_GB2312" w:hAnsi="仿宋_GB2312" w:eastAsia="仿宋_GB2312" w:cs="仿宋_GB2312"/>
          <w:color w:val="FF0000"/>
          <w:sz w:val="32"/>
          <w:szCs w:val="32"/>
        </w:rPr>
        <w:t>经济和人口承载力，优化市政基础设施布局，统筹土地资源供给</w:t>
      </w:r>
      <w:r>
        <w:rPr>
          <w:rFonts w:hint="eastAsia" w:ascii="Times New Roman" w:hAnsi="Times New Roman" w:eastAsia="仿宋_GB2312" w:cs="仿宋_GB2312"/>
          <w:color w:val="FF0000"/>
          <w:sz w:val="32"/>
          <w:szCs w:val="32"/>
        </w:rPr>
        <w:t>，</w:t>
      </w:r>
      <w:r>
        <w:rPr>
          <w:rFonts w:hint="eastAsia" w:ascii="仿宋_GB2312" w:hAnsi="仿宋_GB2312" w:eastAsia="仿宋_GB2312" w:cs="仿宋_GB2312"/>
          <w:color w:val="FF0000"/>
          <w:sz w:val="32"/>
          <w:szCs w:val="32"/>
        </w:rPr>
        <w:t>推进形成“一核一带两翼”的区域协同发展战略格局，有力引领海南东部区域</w:t>
      </w:r>
      <w:r>
        <w:rPr>
          <w:rFonts w:hint="eastAsia" w:ascii="Times New Roman" w:hAnsi="Times New Roman" w:eastAsia="仿宋_GB2312" w:cs="仿宋_GB2312"/>
          <w:color w:val="FF0000"/>
          <w:sz w:val="32"/>
          <w:szCs w:val="32"/>
        </w:rPr>
        <w:t>协调</w:t>
      </w:r>
      <w:r>
        <w:rPr>
          <w:rFonts w:hint="eastAsia" w:ascii="仿宋_GB2312" w:hAnsi="仿宋_GB2312" w:eastAsia="仿宋_GB2312" w:cs="仿宋_GB2312"/>
          <w:color w:val="FF0000"/>
          <w:sz w:val="32"/>
          <w:szCs w:val="32"/>
        </w:rPr>
        <w:t>发展。</w:t>
      </w:r>
    </w:p>
    <w:p>
      <w:pPr>
        <w:widowControl w:val="0"/>
        <w:ind w:firstLine="642" w:firstLineChars="200"/>
        <w:rPr>
          <w:rFonts w:ascii="仿宋_GB2312" w:hAnsi="仿宋_GB2312" w:eastAsia="仿宋_GB2312" w:cs="仿宋_GB2312"/>
          <w:color w:val="FF0000"/>
          <w:sz w:val="32"/>
          <w:szCs w:val="32"/>
        </w:rPr>
      </w:pPr>
      <w:r>
        <w:rPr>
          <w:rFonts w:hint="eastAsia" w:ascii="楷体" w:hAnsi="楷体" w:eastAsia="楷体" w:cs="Times New Roman"/>
          <w:b/>
          <w:color w:val="FF0000"/>
          <w:sz w:val="32"/>
          <w:szCs w:val="32"/>
        </w:rPr>
        <w:t>“一核”</w:t>
      </w:r>
      <w:r>
        <w:rPr>
          <w:rFonts w:hint="eastAsia" w:ascii="仿宋_GB2312" w:hAnsi="仿宋_GB2312" w:eastAsia="仿宋_GB2312" w:cs="仿宋_GB2312"/>
          <w:bCs/>
          <w:color w:val="FF0000"/>
          <w:sz w:val="32"/>
          <w:szCs w:val="32"/>
        </w:rPr>
        <w:t>即围绕博鳌乐城国际医疗旅游先行区打造“大健康产业核心组团”。以博鳌乐城国际医疗旅游先行区为核心，带动嘉积、中原</w:t>
      </w:r>
      <w:r>
        <w:rPr>
          <w:rFonts w:hint="eastAsia" w:ascii="仿宋_GB2312" w:hAnsi="仿宋_GB2312" w:eastAsia="仿宋_GB2312" w:cs="仿宋_GB2312"/>
          <w:color w:val="FF0000"/>
          <w:sz w:val="32"/>
          <w:szCs w:val="32"/>
        </w:rPr>
        <w:t>两</w:t>
      </w:r>
      <w:r>
        <w:rPr>
          <w:rFonts w:hint="eastAsia" w:ascii="仿宋_GB2312" w:hAnsi="仿宋_GB2312" w:eastAsia="仿宋_GB2312" w:cs="仿宋_GB2312"/>
          <w:bCs/>
          <w:color w:val="FF0000"/>
          <w:sz w:val="32"/>
          <w:szCs w:val="32"/>
        </w:rPr>
        <w:t>镇，</w:t>
      </w:r>
      <w:r>
        <w:rPr>
          <w:rFonts w:hint="eastAsia" w:ascii="仿宋_GB2312" w:hAnsi="仿宋_GB2312" w:eastAsia="仿宋_GB2312" w:cs="仿宋_GB2312"/>
          <w:color w:val="FF0000"/>
          <w:sz w:val="32"/>
          <w:szCs w:val="32"/>
        </w:rPr>
        <w:t>推动产城研融合，高水平发展</w:t>
      </w:r>
      <w:r>
        <w:rPr>
          <w:rFonts w:hint="eastAsia" w:ascii="仿宋_GB2312" w:hAnsi="仿宋_GB2312" w:eastAsia="仿宋_GB2312" w:cs="仿宋_GB2312"/>
          <w:bCs/>
          <w:color w:val="FF0000"/>
          <w:sz w:val="32"/>
          <w:szCs w:val="32"/>
        </w:rPr>
        <w:t>医疗健康产业，延长大健康产业链条，主动承接上下游配套产业需求。大力推进嘉积</w:t>
      </w:r>
      <w:r>
        <w:rPr>
          <w:rFonts w:hint="eastAsia" w:ascii="仿宋_GB2312" w:hAnsi="仿宋_GB2312" w:eastAsia="仿宋_GB2312" w:cs="仿宋_GB2312"/>
          <w:color w:val="FF0000"/>
          <w:sz w:val="32"/>
          <w:szCs w:val="32"/>
        </w:rPr>
        <w:t>城市更新改造</w:t>
      </w:r>
      <w:r>
        <w:rPr>
          <w:rFonts w:hint="eastAsia" w:ascii="仿宋_GB2312" w:hAnsi="仿宋_GB2312" w:eastAsia="仿宋_GB2312" w:cs="仿宋_GB2312"/>
          <w:bCs/>
          <w:color w:val="FF0000"/>
          <w:sz w:val="32"/>
          <w:szCs w:val="32"/>
        </w:rPr>
        <w:t>，</w:t>
      </w:r>
      <w:r>
        <w:rPr>
          <w:rFonts w:hint="eastAsia" w:ascii="仿宋_GB2312" w:hAnsi="仿宋_GB2312" w:eastAsia="仿宋_GB2312" w:cs="仿宋_GB2312"/>
          <w:color w:val="FF0000"/>
          <w:sz w:val="32"/>
          <w:szCs w:val="32"/>
        </w:rPr>
        <w:t>高起点完善市政基础设施，谋划推动建设博鳌机场与博鳌动车站连接快线，增强博鳌机场往来琼海市区以及周边市县的交通便利性，提升综合承载能力，推动博鳌临空经济区建设，以航空货运业务为核心，推动航空客运、通用航空共同发展，建设航空物流园和航空运动基地。增强综合经济实力，建成服务于全市的综合服务中心、引领和辐射周边地区经济社会发展的增长核。</w:t>
      </w:r>
    </w:p>
    <w:p>
      <w:pPr>
        <w:widowControl w:val="0"/>
        <w:ind w:firstLine="642" w:firstLineChars="200"/>
        <w:rPr>
          <w:rFonts w:ascii="仿宋_GB2312" w:hAnsi="仿宋_GB2312" w:eastAsia="仿宋_GB2312" w:cs="仿宋_GB2312"/>
          <w:color w:val="FF0000"/>
          <w:sz w:val="32"/>
          <w:szCs w:val="32"/>
        </w:rPr>
      </w:pPr>
      <w:r>
        <w:rPr>
          <w:rFonts w:hint="eastAsia" w:ascii="楷体" w:hAnsi="楷体" w:eastAsia="楷体" w:cs="Times New Roman"/>
          <w:b/>
          <w:color w:val="FF0000"/>
          <w:sz w:val="32"/>
          <w:szCs w:val="32"/>
        </w:rPr>
        <w:t>“一带”</w:t>
      </w:r>
      <w:r>
        <w:rPr>
          <w:rFonts w:hint="eastAsia" w:ascii="仿宋_GB2312" w:hAnsi="仿宋_GB2312" w:eastAsia="仿宋_GB2312" w:cs="仿宋_GB2312"/>
          <w:color w:val="FF0000"/>
          <w:sz w:val="32"/>
          <w:szCs w:val="32"/>
        </w:rPr>
        <w:t>即以博鳌为龙头打造“滨海会展旅游经济带”。以博鳌亚洲论坛特别规划区为基础，依托滨海环岛旅游公路串联潭门、长坡两镇沿海地区，发展国际会议会展、旅游、体育竞技、教育研学等现代服务业，深化精品美丽乡村集群建设，构建面向国际的经济文化合作交流平台。</w:t>
      </w:r>
      <w:r>
        <w:rPr>
          <w:rFonts w:hint="eastAsia" w:ascii="仿宋_GB2312" w:hAnsi="仿宋_GB2312" w:eastAsia="仿宋_GB2312" w:cs="仿宋_GB2312"/>
          <w:bCs/>
          <w:color w:val="FF0000"/>
          <w:sz w:val="32"/>
          <w:szCs w:val="32"/>
        </w:rPr>
        <w:t>同时依托</w:t>
      </w:r>
      <w:r>
        <w:rPr>
          <w:rFonts w:hint="eastAsia" w:ascii="仿宋_GB2312" w:hAnsi="仿宋_GB2312" w:eastAsia="仿宋_GB2312" w:cs="仿宋_GB2312"/>
          <w:color w:val="FF0000"/>
          <w:sz w:val="32"/>
          <w:szCs w:val="32"/>
        </w:rPr>
        <w:t>龙湾港临港经济区</w:t>
      </w:r>
      <w:r>
        <w:rPr>
          <w:rFonts w:hint="eastAsia" w:ascii="仿宋_GB2312" w:hAnsi="仿宋_GB2312" w:eastAsia="仿宋_GB2312" w:cs="仿宋_GB2312"/>
          <w:bCs/>
          <w:color w:val="FF0000"/>
          <w:sz w:val="32"/>
          <w:szCs w:val="32"/>
        </w:rPr>
        <w:t>，建设综合货运物流港区、国际农产品交易中心、游艇及休闲渔业码头等。</w:t>
      </w:r>
    </w:p>
    <w:p>
      <w:pPr>
        <w:pStyle w:val="3"/>
        <w:widowControl w:val="0"/>
        <w:spacing w:line="560" w:lineRule="exact"/>
        <w:ind w:firstLine="642" w:firstLineChars="200"/>
        <w:rPr>
          <w:rFonts w:ascii="仿宋_GB2312" w:hAnsi="仿宋_GB2312" w:eastAsia="仿宋_GB2312" w:cs="仿宋_GB2312"/>
          <w:color w:val="FF0000"/>
          <w:sz w:val="32"/>
          <w:szCs w:val="32"/>
        </w:rPr>
      </w:pPr>
      <w:r>
        <w:rPr>
          <w:rFonts w:hint="eastAsia" w:ascii="楷体" w:hAnsi="楷体" w:eastAsia="楷体" w:cs="Times New Roman"/>
          <w:b/>
          <w:color w:val="FF0000"/>
          <w:sz w:val="32"/>
          <w:szCs w:val="32"/>
        </w:rPr>
        <w:t>“两翼”</w:t>
      </w:r>
      <w:r>
        <w:rPr>
          <w:rFonts w:hint="eastAsia" w:ascii="仿宋_GB2312" w:hAnsi="仿宋_GB2312" w:eastAsia="仿宋_GB2312" w:cs="仿宋_GB2312"/>
          <w:color w:val="FF0000"/>
          <w:sz w:val="32"/>
          <w:szCs w:val="32"/>
        </w:rPr>
        <w:t>即以万泉河为纽带，主要依托国家农业对外开放合作试验区和琼海红色文化、民俗文化等特色资源，构建区域协同、产业集群发展的“南北两翼”。其中，“北翼”依托国家农业对外开放合作试验区，以“世界热带水果之窗”为主要抓手，辐射北部大路、万泉、长坡、塔洋、彬村山等镇（区），促进农业优新品种培育种养及农副产品精深加工等产业集群发展；“南翼”依托万泉河自然资源、红色文化</w:t>
      </w:r>
      <w:r>
        <w:rPr>
          <w:rFonts w:hint="eastAsia" w:ascii="Times New Roman" w:hAnsi="Times New Roman" w:eastAsia="仿宋_GB2312" w:cs="仿宋_GB2312"/>
          <w:color w:val="FF0000"/>
          <w:sz w:val="32"/>
          <w:szCs w:val="32"/>
        </w:rPr>
        <w:t>和</w:t>
      </w:r>
      <w:r>
        <w:rPr>
          <w:rFonts w:hint="eastAsia" w:ascii="仿宋_GB2312" w:hAnsi="仿宋_GB2312" w:eastAsia="仿宋_GB2312" w:cs="仿宋_GB2312"/>
          <w:color w:val="FF0000"/>
          <w:sz w:val="32"/>
          <w:szCs w:val="32"/>
        </w:rPr>
        <w:t>民俗文化等文化资源</w:t>
      </w:r>
      <w:r>
        <w:rPr>
          <w:rFonts w:hint="eastAsia" w:ascii="Times New Roman" w:hAnsi="Times New Roman" w:eastAsia="仿宋_GB2312" w:cs="仿宋_GB2312"/>
          <w:color w:val="FF0000"/>
          <w:sz w:val="32"/>
          <w:szCs w:val="32"/>
        </w:rPr>
        <w:t>以及</w:t>
      </w:r>
      <w:r>
        <w:rPr>
          <w:rFonts w:hint="eastAsia" w:ascii="仿宋_GB2312" w:hAnsi="仿宋_GB2312" w:eastAsia="仿宋_GB2312" w:cs="仿宋_GB2312"/>
          <w:color w:val="FF0000"/>
          <w:sz w:val="32"/>
          <w:szCs w:val="32"/>
        </w:rPr>
        <w:t>槟榔、橡胶、椰子等热带“三棵树”资源，西南地区</w:t>
      </w:r>
      <w:r>
        <w:rPr>
          <w:rFonts w:hint="eastAsia" w:ascii="Times New Roman" w:hAnsi="Times New Roman" w:eastAsia="仿宋_GB2312" w:cs="仿宋_GB2312"/>
          <w:color w:val="FF0000"/>
          <w:sz w:val="32"/>
          <w:szCs w:val="32"/>
        </w:rPr>
        <w:t>以</w:t>
      </w:r>
      <w:r>
        <w:rPr>
          <w:rFonts w:hint="eastAsia" w:ascii="仿宋_GB2312" w:hAnsi="仿宋_GB2312" w:eastAsia="仿宋_GB2312" w:cs="仿宋_GB2312"/>
          <w:color w:val="FF0000"/>
          <w:sz w:val="32"/>
          <w:szCs w:val="32"/>
        </w:rPr>
        <w:t>会山、阳江、龙江、石壁4镇组团发展红色文化和民俗文化体验游、热带特色高效农业种养、槟榔和油茶加工等产业，建设农副产品仓储物流集散中心。</w:t>
      </w:r>
    </w:p>
    <w:p>
      <w:pPr>
        <w:pStyle w:val="9"/>
        <w:widowControl w:val="0"/>
        <w:spacing w:line="580" w:lineRule="exact"/>
        <w:ind w:firstLine="642" w:firstLineChars="200"/>
        <w:outlineLvl w:val="9"/>
        <w:rPr>
          <w:rFonts w:ascii="仿宋_GB2312" w:hAnsi="仿宋_GB2312" w:eastAsia="仿宋_GB2312" w:cs="仿宋_GB2312"/>
        </w:rPr>
      </w:pPr>
      <w:bookmarkStart w:id="94" w:name="_Toc1935"/>
      <w:bookmarkStart w:id="95" w:name="_Toc29079"/>
      <w:bookmarkStart w:id="96" w:name="_Toc2564"/>
      <w:bookmarkStart w:id="97" w:name="_Toc18952"/>
      <w:bookmarkStart w:id="98" w:name="_Toc26165"/>
      <w:bookmarkStart w:id="99" w:name="_Toc10164"/>
      <w:bookmarkStart w:id="100" w:name="_Toc4168"/>
      <w:bookmarkStart w:id="101" w:name="_Toc13837"/>
      <w:bookmarkStart w:id="102" w:name="_Toc804"/>
      <w:bookmarkStart w:id="103" w:name="_Toc56346921"/>
      <w:bookmarkStart w:id="104" w:name="_Toc1970"/>
      <w:r>
        <w:rPr>
          <w:rFonts w:hint="eastAsia" w:ascii="楷体" w:hAnsi="楷体" w:eastAsia="楷体"/>
          <w:bCs/>
        </w:rPr>
        <w:t>第五节</w:t>
      </w:r>
      <w:r>
        <w:rPr>
          <w:rFonts w:ascii="楷体" w:hAnsi="楷体" w:eastAsia="楷体"/>
          <w:bCs/>
        </w:rPr>
        <w:t xml:space="preserve">  </w:t>
      </w:r>
      <w:r>
        <w:rPr>
          <w:rFonts w:hint="eastAsia" w:ascii="楷体" w:hAnsi="楷体" w:eastAsia="楷体"/>
          <w:bCs/>
        </w:rPr>
        <w:t>发展目标</w:t>
      </w:r>
      <w:bookmarkEnd w:id="94"/>
      <w:bookmarkEnd w:id="95"/>
      <w:bookmarkEnd w:id="96"/>
      <w:bookmarkEnd w:id="97"/>
      <w:bookmarkEnd w:id="98"/>
      <w:bookmarkEnd w:id="99"/>
      <w:bookmarkEnd w:id="100"/>
      <w:bookmarkEnd w:id="101"/>
      <w:bookmarkEnd w:id="102"/>
      <w:bookmarkEnd w:id="103"/>
      <w:bookmarkEnd w:id="104"/>
    </w:p>
    <w:p>
      <w:pPr>
        <w:widowControl w:val="0"/>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w:t>
      </w:r>
      <w:r>
        <w:rPr>
          <w:rFonts w:hint="eastAsia" w:ascii="宋体" w:hAnsi="宋体" w:cs="宋体"/>
          <w:b/>
          <w:bCs/>
          <w:sz w:val="32"/>
          <w:szCs w:val="32"/>
        </w:rPr>
        <w:t>〇</w:t>
      </w:r>
      <w:r>
        <w:rPr>
          <w:rFonts w:hint="eastAsia" w:ascii="仿宋_GB2312" w:hAnsi="仿宋_GB2312" w:eastAsia="仿宋_GB2312" w:cs="仿宋_GB2312"/>
          <w:b/>
          <w:bCs/>
          <w:sz w:val="32"/>
          <w:szCs w:val="32"/>
        </w:rPr>
        <w:t>三五年远景目标。</w:t>
      </w:r>
      <w:r>
        <w:rPr>
          <w:rFonts w:hint="eastAsia" w:ascii="仿宋_GB2312" w:hAnsi="仿宋_GB2312" w:eastAsia="仿宋_GB2312" w:cs="仿宋_GB2312"/>
          <w:sz w:val="32"/>
          <w:szCs w:val="32"/>
        </w:rPr>
        <w:t>展望</w:t>
      </w:r>
      <w:r>
        <w:rPr>
          <w:rFonts w:ascii="仿宋_GB2312" w:hAnsi="仿宋_GB2312" w:eastAsia="仿宋_GB2312" w:cs="仿宋_GB2312"/>
          <w:sz w:val="32"/>
          <w:szCs w:val="32"/>
        </w:rPr>
        <w:t>2035年</w:t>
      </w:r>
      <w:r>
        <w:rPr>
          <w:rFonts w:hint="eastAsia" w:ascii="仿宋_GB2312" w:hAnsi="仿宋_GB2312" w:eastAsia="仿宋_GB2312" w:cs="仿宋_GB2312"/>
          <w:sz w:val="32"/>
          <w:szCs w:val="32"/>
        </w:rPr>
        <w:t>，自由贸易港的制度体系和运作模式更加成熟，全面建成全球知名的会展目的地、亚太地区领先的医疗健康交流中心和引领海南东部区域发展的现代化国际化中心城市。新发展理念全面彰显，经济总量和城乡居民人均收入迈上新的大台阶，全</w:t>
      </w:r>
      <w:r>
        <w:rPr>
          <w:rFonts w:hint="eastAsia" w:ascii="Times New Roman" w:hAnsi="Times New Roman" w:eastAsia="仿宋_GB2312" w:cs="仿宋_GB2312"/>
          <w:sz w:val="32"/>
          <w:szCs w:val="32"/>
        </w:rPr>
        <w:t>市</w:t>
      </w:r>
      <w:r>
        <w:rPr>
          <w:rFonts w:hint="eastAsia" w:ascii="仿宋_GB2312" w:hAnsi="仿宋_GB2312" w:eastAsia="仿宋_GB2312" w:cs="仿宋_GB2312"/>
          <w:sz w:val="32"/>
          <w:szCs w:val="32"/>
        </w:rPr>
        <w:t>人民共同富裕迈出坚实步伐，优质公共服务和创新创业环境达到国际先进水平；基本实现新型工业化、信息化、城镇化、农业农村现代化。区域发展引领作用更加凸显，国际化程度显著提升，建成现代化经济体系，旅游、会议会展、医疗健康、金融等</w:t>
      </w:r>
      <w:r>
        <w:rPr>
          <w:rFonts w:hint="eastAsia" w:ascii="Times New Roman" w:hAnsi="Times New Roman" w:eastAsia="仿宋_GB2312" w:cs="仿宋_GB2312"/>
          <w:sz w:val="32"/>
          <w:szCs w:val="32"/>
        </w:rPr>
        <w:t>现代</w:t>
      </w:r>
      <w:r>
        <w:rPr>
          <w:rFonts w:hint="eastAsia" w:ascii="仿宋_GB2312" w:hAnsi="仿宋_GB2312" w:eastAsia="仿宋_GB2312" w:cs="仿宋_GB2312"/>
          <w:sz w:val="32"/>
          <w:szCs w:val="32"/>
        </w:rPr>
        <w:t>服务业、热带高效农业、高新技术产业等重点产业更具竞争力，产业链现代化水平更高</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32"/>
        </w:rPr>
        <w:t>其中大健康产业突破千亿级，高新技术、消费（含免税购物）产业规模突破</w:t>
      </w:r>
      <w:r>
        <w:rPr>
          <w:rFonts w:ascii="仿宋_GB2312" w:hAnsi="仿宋_GB2312" w:eastAsia="仿宋_GB2312" w:cs="仿宋_GB2312"/>
          <w:sz w:val="32"/>
          <w:szCs w:val="32"/>
        </w:rPr>
        <w:t>500亿，旅游业提质增效，建成2个5A级景区，</w:t>
      </w:r>
      <w:r>
        <w:rPr>
          <w:rFonts w:hint="eastAsia" w:ascii="仿宋_GB2312" w:hAnsi="仿宋_GB2312" w:eastAsia="仿宋_GB2312" w:cs="仿宋_GB2312"/>
          <w:sz w:val="32"/>
          <w:szCs w:val="32"/>
        </w:rPr>
        <w:t>国际化</w:t>
      </w:r>
      <w:r>
        <w:rPr>
          <w:rFonts w:ascii="仿宋_GB2312" w:hAnsi="仿宋_GB2312" w:eastAsia="仿宋_GB2312" w:cs="仿宋_GB2312"/>
          <w:sz w:val="32"/>
          <w:szCs w:val="32"/>
        </w:rPr>
        <w:t>高等教育实现新突破；投资贸易自由便利，金融服务活跃，创新要素集聚，营商环境优异。城乡协调发展、生态环境一流、全民素质和社会文明程度达到新高度，城市运行更加安全高效，社会治理更加规范有序，现代化治理体系基本形成，社会充满活力又和谐有序。法治环境规范，监管高效便捷、风险防控严密。国际公共外交基地更具国际影响力，成为展现中国风范、中国气派、中国形象等文化软实力的靓丽名片。</w:t>
      </w:r>
    </w:p>
    <w:p>
      <w:pPr>
        <w:widowControl w:val="0"/>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“十四五”目标。</w:t>
      </w:r>
      <w:r>
        <w:rPr>
          <w:rFonts w:hint="eastAsia" w:ascii="仿宋_GB2312" w:hAnsi="仿宋_GB2312" w:eastAsia="仿宋_GB2312" w:cs="仿宋_GB2312"/>
          <w:sz w:val="32"/>
          <w:szCs w:val="32"/>
        </w:rPr>
        <w:t>锚定二〇三五年远景目标，综合考量全市发展实际，今后五年经济社会发展要努力实现以下主要目标。</w:t>
      </w:r>
    </w:p>
    <w:p>
      <w:pPr>
        <w:widowControl w:val="0"/>
        <w:spacing w:line="600" w:lineRule="exact"/>
        <w:ind w:firstLine="642" w:firstLineChars="200"/>
        <w:rPr>
          <w:rFonts w:ascii="仿宋_GB2312" w:hAnsi="仿宋_GB2312" w:eastAsia="仿宋_GB2312" w:cs="仿宋_GB2312"/>
          <w:sz w:val="32"/>
          <w:szCs w:val="32"/>
        </w:rPr>
      </w:pPr>
      <w:r>
        <w:rPr>
          <w:rFonts w:hint="eastAsia" w:ascii="楷体" w:hAnsi="楷体" w:eastAsia="楷体" w:cs="楷体"/>
          <w:b/>
          <w:sz w:val="32"/>
          <w:szCs w:val="32"/>
        </w:rPr>
        <w:t>自由贸易港建设扎实推进。</w:t>
      </w:r>
      <w:r>
        <w:rPr>
          <w:rFonts w:hint="eastAsia" w:ascii="仿宋_GB2312" w:hAnsi="仿宋_GB2312" w:eastAsia="仿宋_GB2312" w:cs="仿宋_GB2312"/>
          <w:sz w:val="32"/>
          <w:szCs w:val="32"/>
        </w:rPr>
        <w:t>积极落实自由贸易港政策制度体系，以重要园区平台为载体，先行先试自贸港政策，率先形成集成创新成果，推进自贸港早期政策落地见效，制度集成创新取得重要进展，打造国内一流营商环境，激发市场主体活力，推动各类要素便捷高效流动，招商引资、招才引智取得重要成效，风险防控有力有效。“三地两区一中心”建设取得突破进展，开放水平显著提升。</w:t>
      </w:r>
    </w:p>
    <w:p>
      <w:pPr>
        <w:widowControl w:val="0"/>
        <w:spacing w:line="580" w:lineRule="exact"/>
        <w:ind w:firstLine="642" w:firstLineChars="200"/>
        <w:rPr>
          <w:rFonts w:ascii="仿宋" w:hAnsi="仿宋" w:eastAsia="仿宋" w:cs="Times New Roman"/>
          <w:sz w:val="32"/>
          <w:szCs w:val="32"/>
        </w:rPr>
      </w:pPr>
      <w:r>
        <w:rPr>
          <w:rFonts w:hint="eastAsia" w:ascii="楷体" w:hAnsi="楷体" w:eastAsia="楷体" w:cs="楷体"/>
          <w:b/>
          <w:sz w:val="32"/>
          <w:szCs w:val="32"/>
        </w:rPr>
        <w:t>经济实现高质量发展。</w:t>
      </w:r>
      <w:r>
        <w:rPr>
          <w:rFonts w:hint="eastAsia" w:ascii="仿宋_GB2312" w:hAnsi="仿宋_GB2312" w:eastAsia="仿宋_GB2312" w:cs="仿宋_GB2312"/>
          <w:sz w:val="32"/>
          <w:szCs w:val="32"/>
        </w:rPr>
        <w:t>经济增长速度位居全省前列，地区生产总值实现年均增长10%以上。人均地区生产总值迈入高收入地区行列，旅游业、现代服务业、高新技术产业三大主导产业加快发展，做强做优热带特色高效农业，服务业增加值占比达到65%以上，现代化经济体系初步建立。市场主体持续大幅增长，旅游、会议会展、医疗健康、金融等高端服务业，热带高效农业、高新技术产业等重点产业竞争力显著提升并形成协同发展生态圈。发展新动能加速迸发，创新能力显著提升。中心城市功能显著增强，有力引领海南东部区域发展，打造海南高质量发展的琼海样板。</w:t>
      </w:r>
    </w:p>
    <w:p>
      <w:pPr>
        <w:widowControl w:val="0"/>
        <w:spacing w:line="560" w:lineRule="exact"/>
        <w:ind w:firstLine="642" w:firstLineChars="200"/>
        <w:rPr>
          <w:rFonts w:ascii="仿宋_GB2312" w:hAnsi="仿宋_GB2312" w:eastAsia="仿宋_GB2312" w:cs="仿宋_GB2312"/>
          <w:sz w:val="32"/>
          <w:szCs w:val="32"/>
        </w:rPr>
      </w:pPr>
      <w:r>
        <w:rPr>
          <w:rFonts w:hint="eastAsia" w:ascii="楷体" w:hAnsi="楷体" w:eastAsia="楷体" w:cs="楷体"/>
          <w:b/>
          <w:sz w:val="32"/>
          <w:szCs w:val="32"/>
        </w:rPr>
        <w:t>社会文明程度显著提高。</w:t>
      </w:r>
      <w:r>
        <w:rPr>
          <w:rFonts w:hint="eastAsia" w:ascii="仿宋_GB2312" w:hAnsi="仿宋_GB2312" w:eastAsia="仿宋_GB2312" w:cs="仿宋_GB2312"/>
          <w:sz w:val="32"/>
          <w:szCs w:val="32"/>
        </w:rPr>
        <w:t>社会主义核心价值观深入人心，公共文化服务体系和重大文化体育设施布局更加完备，文化产业体系初步形成，人民思想道德素质、科学文化素质和身心健康素质明显提高。高水平建设国际经济文化合作交流中心，提升文化传播力、影响力。</w:t>
      </w:r>
    </w:p>
    <w:p>
      <w:pPr>
        <w:widowControl w:val="0"/>
        <w:spacing w:line="560" w:lineRule="exact"/>
        <w:ind w:firstLine="642" w:firstLineChars="200"/>
        <w:rPr>
          <w:rFonts w:ascii="仿宋_GB2312" w:hAnsi="仿宋_GB2312" w:eastAsia="仿宋_GB2312" w:cs="仿宋_GB2312"/>
          <w:sz w:val="32"/>
          <w:szCs w:val="32"/>
        </w:rPr>
      </w:pPr>
      <w:r>
        <w:rPr>
          <w:rFonts w:hint="eastAsia" w:ascii="楷体" w:hAnsi="楷体" w:eastAsia="楷体" w:cs="楷体"/>
          <w:b/>
          <w:sz w:val="32"/>
          <w:szCs w:val="32"/>
        </w:rPr>
        <w:t>生态文明建设形成新标杆。</w:t>
      </w:r>
      <w:r>
        <w:rPr>
          <w:rFonts w:hint="eastAsia" w:ascii="仿宋_GB2312" w:hAnsi="仿宋_GB2312" w:eastAsia="仿宋_GB2312" w:cs="仿宋_GB2312"/>
          <w:sz w:val="32"/>
          <w:szCs w:val="32"/>
        </w:rPr>
        <w:t>高水平建设国家生态文明战略示范区，实行最严格的生态环境保护制度，构建高效统一的规划管理体系，完善生态文明制度体系。生态环境基础设施建设全面加强，清洁能源运用加快推进，城乡人居环境明显改善，生态环境质量继续保持全国领先水平，力争达到世界领先水平。保持和展现博鳌等特色小镇、“美丽乡村”的田园特色风光，建设生态环境一流的国家级休闲外交基地，成为在国际上展示我国积极参与生态文明建设成果的靓丽名片。</w:t>
      </w:r>
    </w:p>
    <w:p>
      <w:pPr>
        <w:widowControl w:val="0"/>
        <w:spacing w:line="560" w:lineRule="exact"/>
        <w:ind w:firstLine="642" w:firstLineChars="200"/>
        <w:rPr>
          <w:rFonts w:ascii="仿宋_GB2312" w:hAnsi="仿宋_GB2312" w:eastAsia="仿宋_GB2312" w:cs="仿宋_GB2312"/>
          <w:sz w:val="32"/>
          <w:szCs w:val="32"/>
        </w:rPr>
      </w:pPr>
      <w:r>
        <w:rPr>
          <w:rFonts w:hint="eastAsia" w:ascii="楷体" w:hAnsi="楷体" w:eastAsia="楷体" w:cs="楷体"/>
          <w:b/>
          <w:sz w:val="32"/>
          <w:szCs w:val="32"/>
        </w:rPr>
        <w:t>民生福祉达到新水平。</w:t>
      </w:r>
      <w:r>
        <w:rPr>
          <w:rFonts w:hint="eastAsia" w:ascii="仿宋_GB2312" w:hAnsi="仿宋_GB2312" w:eastAsia="仿宋_GB2312" w:cs="仿宋_GB2312"/>
          <w:sz w:val="32"/>
          <w:szCs w:val="32"/>
        </w:rPr>
        <w:t>实现更加充分更高质量就业，农村劳动力转移就业数量持续提升，城乡居民人均收入达到全国中上等水平，人均预期寿命持续提升，基本公共服务均等化水平领先全省。人民生活品质持续提升。全民受教育程度不断提升，多层次社会保障体系更加健全，卫生健康体系更加完善，服务质量显著提升。乡村振兴战略全面推进，脱贫攻坚成果巩固拓展，农业农村现代化在全国</w:t>
      </w:r>
      <w:r>
        <w:rPr>
          <w:rFonts w:hint="eastAsia" w:ascii="Times New Roman" w:hAnsi="Times New Roman" w:eastAsia="仿宋_GB2312" w:cs="仿宋_GB2312"/>
          <w:sz w:val="32"/>
          <w:szCs w:val="32"/>
        </w:rPr>
        <w:t>做出</w:t>
      </w:r>
      <w:r>
        <w:rPr>
          <w:rFonts w:hint="eastAsia" w:ascii="仿宋_GB2312" w:hAnsi="仿宋_GB2312" w:eastAsia="仿宋_GB2312" w:cs="仿宋_GB2312"/>
          <w:sz w:val="32"/>
          <w:szCs w:val="32"/>
        </w:rPr>
        <w:t>示范。</w:t>
      </w:r>
    </w:p>
    <w:p>
      <w:pPr>
        <w:widowControl w:val="0"/>
        <w:spacing w:line="560" w:lineRule="exact"/>
        <w:ind w:firstLine="642" w:firstLineChars="200"/>
        <w:rPr>
          <w:rFonts w:ascii="仿宋_GB2312" w:hAnsi="仿宋_GB2312" w:eastAsia="仿宋_GB2312" w:cs="仿宋_GB2312"/>
          <w:sz w:val="32"/>
          <w:szCs w:val="32"/>
        </w:rPr>
      </w:pPr>
      <w:r>
        <w:rPr>
          <w:rFonts w:hint="eastAsia" w:ascii="楷体" w:hAnsi="楷体" w:eastAsia="楷体" w:cs="楷体"/>
          <w:b/>
          <w:sz w:val="32"/>
          <w:szCs w:val="32"/>
        </w:rPr>
        <w:t>社会治理效能明显提升。</w:t>
      </w:r>
      <w:r>
        <w:rPr>
          <w:rFonts w:hint="eastAsia" w:ascii="仿宋_GB2312" w:hAnsi="仿宋_GB2312" w:eastAsia="仿宋_GB2312" w:cs="仿宋_GB2312"/>
          <w:sz w:val="32"/>
          <w:szCs w:val="32"/>
        </w:rPr>
        <w:t>社会管理平台高效运行，行政效率和公信力显著提升，法治琼海、平安琼海、和谐琼海建设取得显著成效，突发公共事件应急能力显著增强，守住不发生系统性风险底线，社会治理特别是以党建为引领的基层治理水平明显提高，基层活力进一步激发。</w:t>
      </w:r>
    </w:p>
    <w:tbl>
      <w:tblPr>
        <w:tblStyle w:val="11"/>
        <w:tblW w:w="4911" w:type="pct"/>
        <w:tblInd w:w="0" w:type="dxa"/>
        <w:tblLayout w:type="autofit"/>
        <w:tblCellMar>
          <w:top w:w="0" w:type="dxa"/>
          <w:left w:w="0" w:type="dxa"/>
          <w:bottom w:w="0" w:type="dxa"/>
          <w:right w:w="0" w:type="dxa"/>
        </w:tblCellMar>
      </w:tblPr>
      <w:tblGrid>
        <w:gridCol w:w="501"/>
        <w:gridCol w:w="2607"/>
        <w:gridCol w:w="644"/>
        <w:gridCol w:w="1595"/>
        <w:gridCol w:w="1302"/>
        <w:gridCol w:w="1386"/>
        <w:gridCol w:w="905"/>
      </w:tblGrid>
      <w:tr>
        <w:tblPrEx>
          <w:tblCellMar>
            <w:top w:w="0" w:type="dxa"/>
            <w:left w:w="0" w:type="dxa"/>
            <w:bottom w:w="0" w:type="dxa"/>
            <w:right w:w="0" w:type="dxa"/>
          </w:tblCellMar>
        </w:tblPrEx>
        <w:trPr>
          <w:trHeight w:val="854" w:hRule="atLeast"/>
        </w:trPr>
        <w:tc>
          <w:tcPr>
            <w:tcW w:w="5000" w:type="pct"/>
            <w:gridSpan w:val="7"/>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val="0"/>
              <w:jc w:val="center"/>
              <w:textAlignment w:val="center"/>
            </w:pPr>
            <w:r>
              <w:rPr>
                <w:rFonts w:hint="eastAsia" w:ascii="黑体" w:hAnsi="黑体" w:eastAsia="黑体"/>
                <w:b/>
                <w:sz w:val="28"/>
                <w:szCs w:val="28"/>
              </w:rPr>
              <w:t>专栏1：“十四五”时期经济社会发展指标表</w:t>
            </w:r>
          </w:p>
        </w:tc>
      </w:tr>
      <w:tr>
        <w:tblPrEx>
          <w:tblCellMar>
            <w:top w:w="0" w:type="dxa"/>
            <w:left w:w="0" w:type="dxa"/>
            <w:bottom w:w="0" w:type="dxa"/>
            <w:right w:w="0" w:type="dxa"/>
          </w:tblCellMar>
        </w:tblPrEx>
        <w:trPr>
          <w:trHeight w:val="714" w:hRule="atLeast"/>
        </w:trPr>
        <w:tc>
          <w:tcPr>
            <w:tcW w:w="281"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val="0"/>
              <w:jc w:val="center"/>
              <w:textAlignment w:val="center"/>
            </w:pPr>
            <w:r>
              <w:rPr>
                <w:rFonts w:hint="eastAsia"/>
              </w:rPr>
              <w:t>类别</w:t>
            </w:r>
          </w:p>
        </w:tc>
        <w:tc>
          <w:tcPr>
            <w:tcW w:w="145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val="0"/>
              <w:jc w:val="center"/>
              <w:textAlignment w:val="center"/>
            </w:pPr>
            <w:r>
              <w:rPr>
                <w:rFonts w:hint="eastAsia"/>
              </w:rPr>
              <w:t>指标名称</w:t>
            </w:r>
          </w:p>
        </w:tc>
        <w:tc>
          <w:tcPr>
            <w:tcW w:w="360"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val="0"/>
              <w:jc w:val="center"/>
              <w:textAlignment w:val="center"/>
            </w:pPr>
            <w:r>
              <w:rPr>
                <w:rFonts w:hint="eastAsia"/>
              </w:rPr>
              <w:t>单位</w:t>
            </w:r>
          </w:p>
        </w:tc>
        <w:tc>
          <w:tcPr>
            <w:tcW w:w="892"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val="0"/>
              <w:jc w:val="center"/>
              <w:textAlignment w:val="center"/>
            </w:pPr>
            <w:r>
              <w:rPr>
                <w:rFonts w:hint="eastAsia" w:ascii="黑体" w:hAnsi="宋体" w:eastAsia="黑体"/>
              </w:rPr>
              <w:t>2020年</w:t>
            </w:r>
          </w:p>
        </w:tc>
        <w:tc>
          <w:tcPr>
            <w:tcW w:w="72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val="0"/>
              <w:jc w:val="center"/>
              <w:textAlignment w:val="center"/>
              <w:rPr>
                <w:rFonts w:ascii="黑体" w:hAnsi="宋体" w:eastAsia="黑体"/>
              </w:rPr>
            </w:pPr>
            <w:r>
              <w:rPr>
                <w:rFonts w:hint="eastAsia" w:ascii="黑体" w:hAnsi="宋体" w:eastAsia="黑体"/>
              </w:rPr>
              <w:t>2025年预期</w:t>
            </w:r>
          </w:p>
        </w:tc>
        <w:tc>
          <w:tcPr>
            <w:tcW w:w="775"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val="0"/>
              <w:jc w:val="center"/>
              <w:textAlignment w:val="center"/>
              <w:rPr>
                <w:rFonts w:ascii="黑体" w:hAnsi="宋体" w:eastAsia="黑体"/>
              </w:rPr>
            </w:pPr>
            <w:r>
              <w:rPr>
                <w:rFonts w:hint="eastAsia" w:ascii="黑体" w:hAnsi="宋体" w:eastAsia="黑体"/>
              </w:rPr>
              <w:t>年均增长（或累计）%</w:t>
            </w:r>
          </w:p>
        </w:tc>
        <w:tc>
          <w:tcPr>
            <w:tcW w:w="505"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val="0"/>
              <w:jc w:val="center"/>
              <w:textAlignment w:val="center"/>
            </w:pPr>
            <w:r>
              <w:rPr>
                <w:rFonts w:hint="eastAsia"/>
              </w:rPr>
              <w:t>属性</w:t>
            </w:r>
          </w:p>
        </w:tc>
      </w:tr>
      <w:tr>
        <w:tblPrEx>
          <w:tblCellMar>
            <w:top w:w="0" w:type="dxa"/>
            <w:left w:w="0" w:type="dxa"/>
            <w:bottom w:w="0" w:type="dxa"/>
            <w:right w:w="0" w:type="dxa"/>
          </w:tblCellMar>
        </w:tblPrEx>
        <w:trPr>
          <w:trHeight w:val="442" w:hRule="atLeast"/>
        </w:trPr>
        <w:tc>
          <w:tcPr>
            <w:tcW w:w="281" w:type="pct"/>
            <w:vMerge w:val="restart"/>
            <w:tcBorders>
              <w:top w:val="single" w:color="auto" w:sz="8"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textAlignment w:val="center"/>
              <w:rPr>
                <w:rFonts w:ascii="仿宋_GB2312" w:hAnsi="宋体" w:eastAsia="仿宋_GB2312" w:cs="仿宋_GB2312"/>
                <w:sz w:val="18"/>
                <w:szCs w:val="18"/>
              </w:rPr>
            </w:pPr>
            <w:r>
              <w:rPr>
                <w:rFonts w:hint="eastAsia" w:ascii="仿宋_GB2312" w:hAnsi="宋体" w:eastAsia="仿宋_GB2312" w:cs="仿宋_GB2312"/>
                <w:sz w:val="18"/>
                <w:szCs w:val="18"/>
              </w:rPr>
              <w:t>经济发展</w:t>
            </w:r>
          </w:p>
        </w:tc>
        <w:tc>
          <w:tcPr>
            <w:tcW w:w="1458" w:type="pct"/>
            <w:tcBorders>
              <w:top w:val="single" w:color="auto" w:sz="8"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textAlignment w:val="center"/>
              <w:rPr>
                <w:rFonts w:ascii="仿宋_GB2312" w:hAnsi="宋体" w:eastAsia="仿宋_GB2312" w:cs="仿宋_GB2312"/>
              </w:rPr>
            </w:pPr>
            <w:r>
              <w:rPr>
                <w:rFonts w:hint="eastAsia" w:ascii="仿宋_GB2312" w:hAnsi="宋体" w:eastAsia="仿宋_GB2312" w:cs="仿宋_GB2312"/>
              </w:rPr>
              <w:t>1.地区生产总值</w:t>
            </w:r>
          </w:p>
        </w:tc>
        <w:tc>
          <w:tcPr>
            <w:tcW w:w="360" w:type="pct"/>
            <w:tcBorders>
              <w:top w:val="single" w:color="auto" w:sz="8"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亿元</w:t>
            </w:r>
          </w:p>
        </w:tc>
        <w:tc>
          <w:tcPr>
            <w:tcW w:w="892" w:type="pct"/>
            <w:tcBorders>
              <w:top w:val="single" w:color="auto" w:sz="8"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292.1</w:t>
            </w:r>
          </w:p>
        </w:tc>
        <w:tc>
          <w:tcPr>
            <w:tcW w:w="728" w:type="pct"/>
            <w:tcBorders>
              <w:top w:val="single" w:color="auto" w:sz="8"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486.05</w:t>
            </w:r>
          </w:p>
        </w:tc>
        <w:tc>
          <w:tcPr>
            <w:tcW w:w="775" w:type="pct"/>
            <w:tcBorders>
              <w:top w:val="single" w:color="auto" w:sz="8"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10</w:t>
            </w:r>
          </w:p>
        </w:tc>
        <w:tc>
          <w:tcPr>
            <w:tcW w:w="505" w:type="pct"/>
            <w:tcBorders>
              <w:top w:val="single" w:color="auto" w:sz="8"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预期性</w:t>
            </w:r>
          </w:p>
        </w:tc>
      </w:tr>
      <w:tr>
        <w:tblPrEx>
          <w:tblCellMar>
            <w:top w:w="0" w:type="dxa"/>
            <w:left w:w="0" w:type="dxa"/>
            <w:bottom w:w="0" w:type="dxa"/>
            <w:right w:w="0" w:type="dxa"/>
          </w:tblCellMar>
        </w:tblPrEx>
        <w:trPr>
          <w:trHeight w:val="507" w:hRule="atLeast"/>
        </w:trPr>
        <w:tc>
          <w:tcPr>
            <w:tcW w:w="28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textAlignment w:val="center"/>
              <w:rPr>
                <w:rFonts w:ascii="仿宋_GB2312" w:hAnsi="宋体" w:eastAsia="仿宋_GB2312" w:cs="仿宋_GB2312"/>
              </w:rPr>
            </w:pPr>
            <w:r>
              <w:rPr>
                <w:rFonts w:hint="eastAsia" w:ascii="仿宋_GB2312" w:hAnsi="宋体" w:eastAsia="仿宋_GB2312" w:cs="仿宋_GB2312"/>
              </w:rPr>
              <w:t>2.固定资产投资增速</w:t>
            </w:r>
          </w:p>
        </w:tc>
        <w:tc>
          <w:tcPr>
            <w:tcW w:w="3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w:t>
            </w:r>
          </w:p>
        </w:tc>
        <w:tc>
          <w:tcPr>
            <w:tcW w:w="8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15.1</w:t>
            </w:r>
          </w:p>
        </w:tc>
        <w:tc>
          <w:tcPr>
            <w:tcW w:w="7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216.8</w:t>
            </w:r>
          </w:p>
        </w:tc>
        <w:tc>
          <w:tcPr>
            <w:tcW w:w="7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10</w:t>
            </w:r>
          </w:p>
        </w:tc>
        <w:tc>
          <w:tcPr>
            <w:tcW w:w="5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预期性</w:t>
            </w:r>
          </w:p>
        </w:tc>
      </w:tr>
      <w:tr>
        <w:tblPrEx>
          <w:tblCellMar>
            <w:top w:w="0" w:type="dxa"/>
            <w:left w:w="0" w:type="dxa"/>
            <w:bottom w:w="0" w:type="dxa"/>
            <w:right w:w="0" w:type="dxa"/>
          </w:tblCellMar>
        </w:tblPrEx>
        <w:trPr>
          <w:trHeight w:val="552" w:hRule="atLeast"/>
        </w:trPr>
        <w:tc>
          <w:tcPr>
            <w:tcW w:w="28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textAlignment w:val="center"/>
              <w:rPr>
                <w:rFonts w:ascii="仿宋_GB2312" w:hAnsi="宋体" w:eastAsia="仿宋_GB2312" w:cs="仿宋_GB2312"/>
              </w:rPr>
            </w:pPr>
            <w:r>
              <w:rPr>
                <w:rFonts w:hint="eastAsia" w:ascii="仿宋_GB2312" w:hAnsi="宋体" w:eastAsia="仿宋_GB2312" w:cs="仿宋_GB2312"/>
              </w:rPr>
              <w:t>3.地方一般公共预算收入</w:t>
            </w:r>
          </w:p>
        </w:tc>
        <w:tc>
          <w:tcPr>
            <w:tcW w:w="3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亿元</w:t>
            </w:r>
          </w:p>
        </w:tc>
        <w:tc>
          <w:tcPr>
            <w:tcW w:w="8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16.07</w:t>
            </w:r>
          </w:p>
        </w:tc>
        <w:tc>
          <w:tcPr>
            <w:tcW w:w="7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24.68</w:t>
            </w:r>
          </w:p>
        </w:tc>
        <w:tc>
          <w:tcPr>
            <w:tcW w:w="7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9</w:t>
            </w:r>
          </w:p>
        </w:tc>
        <w:tc>
          <w:tcPr>
            <w:tcW w:w="5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预期性</w:t>
            </w:r>
          </w:p>
        </w:tc>
      </w:tr>
      <w:tr>
        <w:tblPrEx>
          <w:tblCellMar>
            <w:top w:w="0" w:type="dxa"/>
            <w:left w:w="0" w:type="dxa"/>
            <w:bottom w:w="0" w:type="dxa"/>
            <w:right w:w="0" w:type="dxa"/>
          </w:tblCellMar>
        </w:tblPrEx>
        <w:trPr>
          <w:trHeight w:val="487" w:hRule="atLeast"/>
        </w:trPr>
        <w:tc>
          <w:tcPr>
            <w:tcW w:w="28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textAlignment w:val="center"/>
              <w:rPr>
                <w:rFonts w:ascii="仿宋_GB2312" w:hAnsi="宋体" w:eastAsia="仿宋_GB2312" w:cs="仿宋_GB2312"/>
              </w:rPr>
            </w:pPr>
            <w:r>
              <w:rPr>
                <w:rFonts w:hint="eastAsia" w:ascii="仿宋_GB2312" w:hAnsi="宋体" w:eastAsia="仿宋_GB2312" w:cs="仿宋_GB2312"/>
              </w:rPr>
              <w:t>4.社会消费品零售总额</w:t>
            </w:r>
          </w:p>
        </w:tc>
        <w:tc>
          <w:tcPr>
            <w:tcW w:w="3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亿元</w:t>
            </w:r>
          </w:p>
        </w:tc>
        <w:tc>
          <w:tcPr>
            <w:tcW w:w="8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108.0</w:t>
            </w:r>
          </w:p>
        </w:tc>
        <w:tc>
          <w:tcPr>
            <w:tcW w:w="7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182.7</w:t>
            </w:r>
          </w:p>
        </w:tc>
        <w:tc>
          <w:tcPr>
            <w:tcW w:w="7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10.5</w:t>
            </w:r>
          </w:p>
        </w:tc>
        <w:tc>
          <w:tcPr>
            <w:tcW w:w="5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预期性</w:t>
            </w:r>
          </w:p>
        </w:tc>
      </w:tr>
      <w:tr>
        <w:tblPrEx>
          <w:tblCellMar>
            <w:top w:w="0" w:type="dxa"/>
            <w:left w:w="0" w:type="dxa"/>
            <w:bottom w:w="0" w:type="dxa"/>
            <w:right w:w="0" w:type="dxa"/>
          </w:tblCellMar>
        </w:tblPrEx>
        <w:trPr>
          <w:trHeight w:val="537" w:hRule="atLeast"/>
        </w:trPr>
        <w:tc>
          <w:tcPr>
            <w:tcW w:w="28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textAlignment w:val="center"/>
              <w:rPr>
                <w:rFonts w:ascii="仿宋_GB2312" w:hAnsi="宋体" w:eastAsia="仿宋_GB2312" w:cs="仿宋_GB2312"/>
              </w:rPr>
            </w:pPr>
            <w:r>
              <w:rPr>
                <w:rFonts w:hint="eastAsia" w:ascii="仿宋_GB2312" w:hAnsi="宋体" w:eastAsia="仿宋_GB2312" w:cs="仿宋_GB2312"/>
              </w:rPr>
              <w:t>5.全员劳动生产率增速</w:t>
            </w:r>
          </w:p>
        </w:tc>
        <w:tc>
          <w:tcPr>
            <w:tcW w:w="3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w:t>
            </w:r>
          </w:p>
        </w:tc>
        <w:tc>
          <w:tcPr>
            <w:tcW w:w="8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4</w:t>
            </w:r>
          </w:p>
        </w:tc>
        <w:tc>
          <w:tcPr>
            <w:tcW w:w="7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w:t>
            </w:r>
          </w:p>
        </w:tc>
        <w:tc>
          <w:tcPr>
            <w:tcW w:w="7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&gt;7</w:t>
            </w:r>
          </w:p>
        </w:tc>
        <w:tc>
          <w:tcPr>
            <w:tcW w:w="5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预期性</w:t>
            </w:r>
          </w:p>
        </w:tc>
      </w:tr>
      <w:tr>
        <w:tblPrEx>
          <w:tblCellMar>
            <w:top w:w="0" w:type="dxa"/>
            <w:left w:w="0" w:type="dxa"/>
            <w:bottom w:w="0" w:type="dxa"/>
            <w:right w:w="0" w:type="dxa"/>
          </w:tblCellMar>
        </w:tblPrEx>
        <w:trPr>
          <w:trHeight w:val="552" w:hRule="atLeast"/>
        </w:trPr>
        <w:tc>
          <w:tcPr>
            <w:tcW w:w="28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textAlignment w:val="center"/>
              <w:rPr>
                <w:rFonts w:ascii="仿宋_GB2312" w:hAnsi="宋体" w:eastAsia="仿宋_GB2312" w:cs="仿宋_GB2312"/>
              </w:rPr>
            </w:pPr>
            <w:r>
              <w:rPr>
                <w:rFonts w:hint="eastAsia" w:ascii="仿宋_GB2312" w:hAnsi="宋体" w:eastAsia="仿宋_GB2312" w:cs="仿宋_GB2312"/>
                <w:spacing w:val="-20"/>
              </w:rPr>
              <w:t>6.旅游业增加值占GDP比重（%）</w:t>
            </w:r>
          </w:p>
        </w:tc>
        <w:tc>
          <w:tcPr>
            <w:tcW w:w="3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w:t>
            </w:r>
          </w:p>
        </w:tc>
        <w:tc>
          <w:tcPr>
            <w:tcW w:w="8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8.9</w:t>
            </w:r>
          </w:p>
        </w:tc>
        <w:tc>
          <w:tcPr>
            <w:tcW w:w="7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12</w:t>
            </w:r>
          </w:p>
        </w:tc>
        <w:tc>
          <w:tcPr>
            <w:tcW w:w="7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w:t>
            </w:r>
          </w:p>
        </w:tc>
        <w:tc>
          <w:tcPr>
            <w:tcW w:w="5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预期性</w:t>
            </w:r>
          </w:p>
        </w:tc>
      </w:tr>
      <w:tr>
        <w:trPr>
          <w:trHeight w:val="442" w:hRule="atLeast"/>
        </w:trPr>
        <w:tc>
          <w:tcPr>
            <w:tcW w:w="28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textAlignment w:val="center"/>
              <w:rPr>
                <w:rFonts w:ascii="仿宋_GB2312" w:hAnsi="宋体" w:eastAsia="仿宋_GB2312" w:cs="仿宋_GB2312"/>
              </w:rPr>
            </w:pPr>
            <w:r>
              <w:rPr>
                <w:rFonts w:hint="eastAsia" w:ascii="仿宋_GB2312" w:hAnsi="宋体" w:eastAsia="仿宋_GB2312" w:cs="仿宋_GB2312"/>
              </w:rPr>
              <w:t>7.常住人口城镇化率</w:t>
            </w:r>
          </w:p>
        </w:tc>
        <w:tc>
          <w:tcPr>
            <w:tcW w:w="3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w:t>
            </w:r>
          </w:p>
        </w:tc>
        <w:tc>
          <w:tcPr>
            <w:tcW w:w="8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52.09</w:t>
            </w:r>
          </w:p>
        </w:tc>
        <w:tc>
          <w:tcPr>
            <w:tcW w:w="7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65</w:t>
            </w:r>
          </w:p>
        </w:tc>
        <w:tc>
          <w:tcPr>
            <w:tcW w:w="7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w:t>
            </w:r>
          </w:p>
        </w:tc>
        <w:tc>
          <w:tcPr>
            <w:tcW w:w="5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预期性</w:t>
            </w:r>
          </w:p>
        </w:tc>
      </w:tr>
      <w:tr>
        <w:tblPrEx>
          <w:tblCellMar>
            <w:top w:w="0" w:type="dxa"/>
            <w:left w:w="0" w:type="dxa"/>
            <w:bottom w:w="0" w:type="dxa"/>
            <w:right w:w="0" w:type="dxa"/>
          </w:tblCellMar>
        </w:tblPrEx>
        <w:trPr>
          <w:trHeight w:val="502" w:hRule="atLeast"/>
        </w:trPr>
        <w:tc>
          <w:tcPr>
            <w:tcW w:w="28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textAlignment w:val="center"/>
              <w:rPr>
                <w:rFonts w:ascii="仿宋_GB2312" w:hAnsi="宋体" w:eastAsia="仿宋_GB2312" w:cs="仿宋_GB2312"/>
              </w:rPr>
            </w:pPr>
            <w:r>
              <w:rPr>
                <w:rFonts w:hint="eastAsia" w:ascii="仿宋_GB2312" w:hAnsi="宋体" w:eastAsia="仿宋_GB2312" w:cs="仿宋_GB2312"/>
              </w:rPr>
              <w:t>8.粮食总产量</w:t>
            </w:r>
          </w:p>
        </w:tc>
        <w:tc>
          <w:tcPr>
            <w:tcW w:w="3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万吨</w:t>
            </w:r>
          </w:p>
        </w:tc>
        <w:tc>
          <w:tcPr>
            <w:tcW w:w="8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10.44</w:t>
            </w:r>
          </w:p>
        </w:tc>
        <w:tc>
          <w:tcPr>
            <w:tcW w:w="7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10</w:t>
            </w:r>
          </w:p>
        </w:tc>
        <w:tc>
          <w:tcPr>
            <w:tcW w:w="7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w:t>
            </w:r>
          </w:p>
        </w:tc>
        <w:tc>
          <w:tcPr>
            <w:tcW w:w="5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约束性</w:t>
            </w:r>
          </w:p>
        </w:tc>
      </w:tr>
      <w:tr>
        <w:tblPrEx>
          <w:tblCellMar>
            <w:top w:w="0" w:type="dxa"/>
            <w:left w:w="0" w:type="dxa"/>
            <w:bottom w:w="0" w:type="dxa"/>
            <w:right w:w="0" w:type="dxa"/>
          </w:tblCellMar>
        </w:tblPrEx>
        <w:trPr>
          <w:trHeight w:val="469" w:hRule="atLeast"/>
        </w:trPr>
        <w:tc>
          <w:tcPr>
            <w:tcW w:w="281"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textAlignment w:val="center"/>
              <w:rPr>
                <w:rFonts w:ascii="仿宋_GB2312" w:hAnsi="宋体" w:eastAsia="仿宋_GB2312" w:cs="仿宋_GB2312"/>
                <w:sz w:val="18"/>
                <w:szCs w:val="18"/>
              </w:rPr>
            </w:pPr>
            <w:r>
              <w:rPr>
                <w:rFonts w:hint="eastAsia" w:ascii="仿宋_GB2312" w:hAnsi="宋体" w:eastAsia="仿宋_GB2312" w:cs="仿宋_GB2312"/>
                <w:sz w:val="18"/>
                <w:szCs w:val="18"/>
              </w:rPr>
              <w:t>开放发展</w:t>
            </w: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textAlignment w:val="center"/>
              <w:rPr>
                <w:rFonts w:ascii="仿宋_GB2312" w:hAnsi="宋体" w:eastAsia="仿宋_GB2312" w:cs="仿宋_GB2312"/>
              </w:rPr>
            </w:pPr>
            <w:r>
              <w:rPr>
                <w:rFonts w:hint="eastAsia" w:ascii="仿宋_GB2312" w:hAnsi="宋体" w:eastAsia="仿宋_GB2312" w:cs="仿宋_GB2312"/>
              </w:rPr>
              <w:t>9.实际利用外资总额</w:t>
            </w:r>
          </w:p>
        </w:tc>
        <w:tc>
          <w:tcPr>
            <w:tcW w:w="3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亿美元</w:t>
            </w:r>
          </w:p>
        </w:tc>
        <w:tc>
          <w:tcPr>
            <w:tcW w:w="8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1.21</w:t>
            </w:r>
          </w:p>
        </w:tc>
        <w:tc>
          <w:tcPr>
            <w:tcW w:w="7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1.59</w:t>
            </w:r>
          </w:p>
        </w:tc>
        <w:tc>
          <w:tcPr>
            <w:tcW w:w="7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5.6</w:t>
            </w:r>
          </w:p>
        </w:tc>
        <w:tc>
          <w:tcPr>
            <w:tcW w:w="5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预期性</w:t>
            </w:r>
          </w:p>
        </w:tc>
      </w:tr>
      <w:tr>
        <w:tblPrEx>
          <w:tblCellMar>
            <w:top w:w="0" w:type="dxa"/>
            <w:left w:w="0" w:type="dxa"/>
            <w:bottom w:w="0" w:type="dxa"/>
            <w:right w:w="0" w:type="dxa"/>
          </w:tblCellMar>
        </w:tblPrEx>
        <w:trPr>
          <w:trHeight w:val="469" w:hRule="atLeast"/>
        </w:trPr>
        <w:tc>
          <w:tcPr>
            <w:tcW w:w="28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textAlignment w:val="center"/>
              <w:rPr>
                <w:rFonts w:ascii="仿宋_GB2312" w:hAnsi="宋体" w:eastAsia="仿宋_GB2312" w:cs="仿宋_GB2312"/>
              </w:rPr>
            </w:pPr>
            <w:r>
              <w:rPr>
                <w:rFonts w:hint="eastAsia" w:ascii="仿宋_GB2312" w:hAnsi="宋体" w:eastAsia="仿宋_GB2312" w:cs="仿宋_GB2312"/>
              </w:rPr>
              <w:t>10.贸易进出口总额</w:t>
            </w:r>
          </w:p>
        </w:tc>
        <w:tc>
          <w:tcPr>
            <w:tcW w:w="3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亿元</w:t>
            </w:r>
          </w:p>
        </w:tc>
        <w:tc>
          <w:tcPr>
            <w:tcW w:w="8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1.68</w:t>
            </w:r>
          </w:p>
        </w:tc>
        <w:tc>
          <w:tcPr>
            <w:tcW w:w="7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2.7</w:t>
            </w:r>
          </w:p>
        </w:tc>
        <w:tc>
          <w:tcPr>
            <w:tcW w:w="7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10</w:t>
            </w:r>
          </w:p>
        </w:tc>
        <w:tc>
          <w:tcPr>
            <w:tcW w:w="5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预期性</w:t>
            </w:r>
          </w:p>
        </w:tc>
      </w:tr>
      <w:tr>
        <w:tblPrEx>
          <w:tblCellMar>
            <w:top w:w="0" w:type="dxa"/>
            <w:left w:w="0" w:type="dxa"/>
            <w:bottom w:w="0" w:type="dxa"/>
            <w:right w:w="0" w:type="dxa"/>
          </w:tblCellMar>
        </w:tblPrEx>
        <w:trPr>
          <w:trHeight w:val="436" w:hRule="atLeast"/>
        </w:trPr>
        <w:tc>
          <w:tcPr>
            <w:tcW w:w="281"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textAlignment w:val="center"/>
              <w:rPr>
                <w:rFonts w:ascii="仿宋_GB2312" w:hAnsi="宋体" w:eastAsia="仿宋_GB2312" w:cs="仿宋_GB2312"/>
                <w:sz w:val="18"/>
                <w:szCs w:val="18"/>
              </w:rPr>
            </w:pPr>
            <w:r>
              <w:rPr>
                <w:rFonts w:hint="eastAsia" w:ascii="仿宋_GB2312" w:hAnsi="宋体" w:eastAsia="仿宋_GB2312" w:cs="仿宋_GB2312"/>
                <w:sz w:val="18"/>
                <w:szCs w:val="18"/>
              </w:rPr>
              <w:t>创新驱动</w:t>
            </w: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textAlignment w:val="center"/>
              <w:rPr>
                <w:rFonts w:ascii="仿宋_GB2312" w:hAnsi="宋体" w:eastAsia="仿宋_GB2312" w:cs="仿宋_GB2312"/>
              </w:rPr>
            </w:pPr>
            <w:r>
              <w:rPr>
                <w:rFonts w:hint="eastAsia" w:ascii="仿宋_GB2312" w:hAnsi="宋体" w:eastAsia="仿宋_GB2312" w:cs="仿宋_GB2312"/>
              </w:rPr>
              <w:t>11.研发经费投入强度</w:t>
            </w:r>
          </w:p>
        </w:tc>
        <w:tc>
          <w:tcPr>
            <w:tcW w:w="3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w:t>
            </w:r>
          </w:p>
        </w:tc>
        <w:tc>
          <w:tcPr>
            <w:tcW w:w="8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0.0002</w:t>
            </w:r>
          </w:p>
        </w:tc>
        <w:tc>
          <w:tcPr>
            <w:tcW w:w="7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1.6</w:t>
            </w:r>
          </w:p>
        </w:tc>
        <w:tc>
          <w:tcPr>
            <w:tcW w:w="7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w:t>
            </w:r>
          </w:p>
        </w:tc>
        <w:tc>
          <w:tcPr>
            <w:tcW w:w="5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预期性</w:t>
            </w:r>
          </w:p>
        </w:tc>
      </w:tr>
      <w:tr>
        <w:tblPrEx>
          <w:tblCellMar>
            <w:top w:w="0" w:type="dxa"/>
            <w:left w:w="0" w:type="dxa"/>
            <w:bottom w:w="0" w:type="dxa"/>
            <w:right w:w="0" w:type="dxa"/>
          </w:tblCellMar>
        </w:tblPrEx>
        <w:trPr>
          <w:trHeight w:val="668" w:hRule="atLeast"/>
        </w:trPr>
        <w:tc>
          <w:tcPr>
            <w:tcW w:w="28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textAlignment w:val="center"/>
              <w:rPr>
                <w:rFonts w:ascii="仿宋_GB2312" w:hAnsi="宋体" w:eastAsia="仿宋_GB2312" w:cs="仿宋_GB2312"/>
              </w:rPr>
            </w:pPr>
            <w:r>
              <w:rPr>
                <w:rFonts w:hint="eastAsia" w:ascii="仿宋_GB2312" w:hAnsi="宋体" w:eastAsia="仿宋_GB2312" w:cs="仿宋_GB2312"/>
              </w:rPr>
              <w:t>12.每万人口发明专利拥有量</w:t>
            </w:r>
          </w:p>
        </w:tc>
        <w:tc>
          <w:tcPr>
            <w:tcW w:w="3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件</w:t>
            </w:r>
          </w:p>
        </w:tc>
        <w:tc>
          <w:tcPr>
            <w:tcW w:w="8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0.35</w:t>
            </w:r>
          </w:p>
        </w:tc>
        <w:tc>
          <w:tcPr>
            <w:tcW w:w="7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1</w:t>
            </w:r>
          </w:p>
        </w:tc>
        <w:tc>
          <w:tcPr>
            <w:tcW w:w="7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w:t>
            </w:r>
          </w:p>
        </w:tc>
        <w:tc>
          <w:tcPr>
            <w:tcW w:w="5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预期性</w:t>
            </w:r>
          </w:p>
        </w:tc>
      </w:tr>
      <w:tr>
        <w:trPr>
          <w:trHeight w:val="566" w:hRule="atLeast"/>
        </w:trPr>
        <w:tc>
          <w:tcPr>
            <w:tcW w:w="281" w:type="pct"/>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p>
        </w:tc>
        <w:tc>
          <w:tcPr>
            <w:tcW w:w="1458"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val="0"/>
              <w:textAlignment w:val="center"/>
              <w:rPr>
                <w:rFonts w:ascii="仿宋_GB2312" w:hAnsi="宋体" w:eastAsia="仿宋_GB2312" w:cs="仿宋_GB2312"/>
              </w:rPr>
            </w:pPr>
            <w:r>
              <w:rPr>
                <w:rFonts w:hint="eastAsia" w:ascii="仿宋_GB2312" w:hAnsi="宋体" w:eastAsia="仿宋_GB2312" w:cs="仿宋_GB2312"/>
              </w:rPr>
              <w:t>13.新增人才总量</w:t>
            </w:r>
          </w:p>
        </w:tc>
        <w:tc>
          <w:tcPr>
            <w:tcW w:w="360"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人</w:t>
            </w:r>
          </w:p>
        </w:tc>
        <w:tc>
          <w:tcPr>
            <w:tcW w:w="89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4330</w:t>
            </w:r>
          </w:p>
        </w:tc>
        <w:tc>
          <w:tcPr>
            <w:tcW w:w="728"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5-8万</w:t>
            </w:r>
          </w:p>
        </w:tc>
        <w:tc>
          <w:tcPr>
            <w:tcW w:w="775"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w:t>
            </w:r>
          </w:p>
        </w:tc>
        <w:tc>
          <w:tcPr>
            <w:tcW w:w="505"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预期性</w:t>
            </w:r>
          </w:p>
        </w:tc>
      </w:tr>
      <w:tr>
        <w:tblPrEx>
          <w:tblCellMar>
            <w:top w:w="0" w:type="dxa"/>
            <w:left w:w="0" w:type="dxa"/>
            <w:bottom w:w="0" w:type="dxa"/>
            <w:right w:w="0" w:type="dxa"/>
          </w:tblCellMar>
        </w:tblPrEx>
        <w:trPr>
          <w:trHeight w:val="831" w:hRule="atLeast"/>
        </w:trPr>
        <w:tc>
          <w:tcPr>
            <w:tcW w:w="281"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jc w:val="center"/>
              <w:textAlignment w:val="center"/>
            </w:pPr>
            <w:r>
              <w:rPr>
                <w:rFonts w:hint="eastAsia"/>
              </w:rPr>
              <w:t>类别</w:t>
            </w:r>
          </w:p>
        </w:tc>
        <w:tc>
          <w:tcPr>
            <w:tcW w:w="1458"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jc w:val="center"/>
              <w:textAlignment w:val="center"/>
            </w:pPr>
            <w:r>
              <w:rPr>
                <w:rFonts w:hint="eastAsia"/>
              </w:rPr>
              <w:t>指标名称</w:t>
            </w:r>
          </w:p>
        </w:tc>
        <w:tc>
          <w:tcPr>
            <w:tcW w:w="36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jc w:val="center"/>
              <w:textAlignment w:val="center"/>
            </w:pPr>
            <w:r>
              <w:rPr>
                <w:rFonts w:hint="eastAsia"/>
              </w:rPr>
              <w:t>单位</w:t>
            </w:r>
          </w:p>
        </w:tc>
        <w:tc>
          <w:tcPr>
            <w:tcW w:w="89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jc w:val="center"/>
              <w:textAlignment w:val="center"/>
            </w:pPr>
            <w:r>
              <w:rPr>
                <w:rFonts w:hint="eastAsia" w:ascii="黑体" w:hAnsi="宋体" w:eastAsia="黑体"/>
              </w:rPr>
              <w:t>2020年</w:t>
            </w:r>
          </w:p>
        </w:tc>
        <w:tc>
          <w:tcPr>
            <w:tcW w:w="728"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jc w:val="center"/>
              <w:textAlignment w:val="center"/>
              <w:rPr>
                <w:rFonts w:ascii="黑体" w:hAnsi="宋体" w:eastAsia="黑体"/>
              </w:rPr>
            </w:pPr>
            <w:r>
              <w:rPr>
                <w:rFonts w:hint="eastAsia" w:ascii="黑体" w:hAnsi="宋体" w:eastAsia="黑体"/>
              </w:rPr>
              <w:t>2025年预期</w:t>
            </w:r>
          </w:p>
        </w:tc>
        <w:tc>
          <w:tcPr>
            <w:tcW w:w="77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jc w:val="center"/>
              <w:textAlignment w:val="center"/>
              <w:rPr>
                <w:rFonts w:ascii="黑体" w:hAnsi="宋体" w:eastAsia="黑体"/>
              </w:rPr>
            </w:pPr>
            <w:r>
              <w:rPr>
                <w:rFonts w:hint="eastAsia" w:ascii="黑体" w:hAnsi="宋体" w:eastAsia="黑体"/>
              </w:rPr>
              <w:t>年均增长（或累计）%</w:t>
            </w:r>
          </w:p>
        </w:tc>
        <w:tc>
          <w:tcPr>
            <w:tcW w:w="50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jc w:val="center"/>
              <w:textAlignment w:val="center"/>
            </w:pPr>
            <w:r>
              <w:rPr>
                <w:rFonts w:hint="eastAsia"/>
              </w:rPr>
              <w:t>属性</w:t>
            </w:r>
          </w:p>
        </w:tc>
      </w:tr>
      <w:tr>
        <w:tblPrEx>
          <w:tblCellMar>
            <w:top w:w="0" w:type="dxa"/>
            <w:left w:w="0" w:type="dxa"/>
            <w:bottom w:w="0" w:type="dxa"/>
            <w:right w:w="0" w:type="dxa"/>
          </w:tblCellMar>
        </w:tblPrEx>
        <w:trPr>
          <w:trHeight w:val="831" w:hRule="atLeast"/>
        </w:trPr>
        <w:tc>
          <w:tcPr>
            <w:tcW w:w="281" w:type="pct"/>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jc w:val="center"/>
              <w:textAlignment w:val="center"/>
              <w:rPr>
                <w:rFonts w:ascii="仿宋_GB2312" w:hAnsi="宋体" w:eastAsia="仿宋_GB2312" w:cs="仿宋_GB2312"/>
                <w:sz w:val="18"/>
                <w:szCs w:val="18"/>
              </w:rPr>
            </w:pPr>
            <w:r>
              <w:rPr>
                <w:rFonts w:hint="eastAsia" w:ascii="仿宋_GB2312" w:hAnsi="宋体" w:eastAsia="仿宋_GB2312" w:cs="仿宋_GB2312"/>
                <w:sz w:val="18"/>
                <w:szCs w:val="18"/>
              </w:rPr>
              <w:t>居民福祉</w:t>
            </w:r>
          </w:p>
        </w:tc>
        <w:tc>
          <w:tcPr>
            <w:tcW w:w="1458"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textAlignment w:val="center"/>
              <w:rPr>
                <w:rFonts w:ascii="仿宋_GB2312" w:hAnsi="宋体" w:eastAsia="仿宋_GB2312" w:cs="仿宋_GB2312"/>
              </w:rPr>
            </w:pPr>
            <w:r>
              <w:rPr>
                <w:rFonts w:hint="eastAsia" w:ascii="仿宋_GB2312" w:hAnsi="宋体" w:eastAsia="仿宋_GB2312" w:cs="仿宋_GB2312"/>
              </w:rPr>
              <w:t>14.居民人均可支配收入增长</w:t>
            </w:r>
          </w:p>
        </w:tc>
        <w:tc>
          <w:tcPr>
            <w:tcW w:w="36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w:t>
            </w:r>
          </w:p>
        </w:tc>
        <w:tc>
          <w:tcPr>
            <w:tcW w:w="89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jc w:val="center"/>
              <w:rPr>
                <w:rFonts w:hint="default" w:ascii="仿宋_GB2312" w:hAnsi="宋体" w:eastAsia="仿宋_GB2312" w:cs="仿宋_GB2312"/>
                <w:sz w:val="24"/>
                <w:szCs w:val="24"/>
                <w:lang w:val="en-US" w:eastAsia="zh-CN"/>
              </w:rPr>
            </w:pPr>
            <w:r>
              <w:rPr>
                <w:rFonts w:hint="eastAsia" w:ascii="仿宋_GB2312" w:hAnsi="宋体" w:eastAsia="仿宋_GB2312" w:cs="仿宋_GB2312"/>
                <w:sz w:val="24"/>
                <w:szCs w:val="24"/>
                <w:lang w:val="en-US" w:eastAsia="zh-CN"/>
              </w:rPr>
              <w:t>5.7</w:t>
            </w:r>
          </w:p>
        </w:tc>
        <w:tc>
          <w:tcPr>
            <w:tcW w:w="728"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w:t>
            </w:r>
          </w:p>
        </w:tc>
        <w:tc>
          <w:tcPr>
            <w:tcW w:w="77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10</w:t>
            </w:r>
          </w:p>
        </w:tc>
        <w:tc>
          <w:tcPr>
            <w:tcW w:w="50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预期性</w:t>
            </w:r>
          </w:p>
        </w:tc>
      </w:tr>
      <w:tr>
        <w:tblPrEx>
          <w:tblCellMar>
            <w:top w:w="0" w:type="dxa"/>
            <w:left w:w="0" w:type="dxa"/>
            <w:bottom w:w="0" w:type="dxa"/>
            <w:right w:w="0" w:type="dxa"/>
          </w:tblCellMar>
        </w:tblPrEx>
        <w:trPr>
          <w:trHeight w:val="444" w:hRule="atLeast"/>
        </w:trPr>
        <w:tc>
          <w:tcPr>
            <w:tcW w:w="281" w:type="pct"/>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jc w:val="center"/>
              <w:textAlignment w:val="center"/>
              <w:rPr>
                <w:rFonts w:ascii="仿宋_GB2312" w:hAnsi="宋体" w:eastAsia="仿宋_GB2312" w:cs="仿宋_GB2312"/>
                <w:sz w:val="18"/>
                <w:szCs w:val="18"/>
              </w:rPr>
            </w:pPr>
          </w:p>
        </w:tc>
        <w:tc>
          <w:tcPr>
            <w:tcW w:w="1458"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jc w:val="left"/>
              <w:textAlignment w:val="center"/>
              <w:rPr>
                <w:rFonts w:ascii="仿宋_GB2312" w:hAnsi="宋体" w:eastAsia="仿宋_GB2312" w:cs="仿宋_GB2312"/>
              </w:rPr>
            </w:pPr>
            <w:r>
              <w:rPr>
                <w:rFonts w:hint="eastAsia" w:ascii="仿宋_GB2312" w:hAnsi="宋体" w:eastAsia="仿宋_GB2312" w:cs="仿宋_GB2312"/>
              </w:rPr>
              <w:t>15.城镇登记失业率</w:t>
            </w:r>
          </w:p>
        </w:tc>
        <w:tc>
          <w:tcPr>
            <w:tcW w:w="36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w:t>
            </w:r>
          </w:p>
        </w:tc>
        <w:tc>
          <w:tcPr>
            <w:tcW w:w="89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1.98</w:t>
            </w:r>
          </w:p>
        </w:tc>
        <w:tc>
          <w:tcPr>
            <w:tcW w:w="728"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仿宋_GB2312" w:eastAsia="仿宋_GB2312" w:cs="仿宋_GB2312"/>
                <w:sz w:val="24"/>
                <w:szCs w:val="24"/>
              </w:rPr>
              <w:t>≤</w:t>
            </w:r>
            <w:r>
              <w:rPr>
                <w:rFonts w:hint="eastAsia" w:ascii="仿宋_GB2312" w:hAnsi="宋体" w:eastAsia="仿宋_GB2312" w:cs="仿宋_GB2312"/>
                <w:sz w:val="24"/>
                <w:szCs w:val="24"/>
              </w:rPr>
              <w:t>4</w:t>
            </w:r>
          </w:p>
        </w:tc>
        <w:tc>
          <w:tcPr>
            <w:tcW w:w="77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w:t>
            </w:r>
          </w:p>
        </w:tc>
        <w:tc>
          <w:tcPr>
            <w:tcW w:w="50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预期性</w:t>
            </w:r>
          </w:p>
        </w:tc>
      </w:tr>
      <w:tr>
        <w:tblPrEx>
          <w:tblCellMar>
            <w:top w:w="0" w:type="dxa"/>
            <w:left w:w="0" w:type="dxa"/>
            <w:bottom w:w="0" w:type="dxa"/>
            <w:right w:w="0" w:type="dxa"/>
          </w:tblCellMar>
        </w:tblPrEx>
        <w:trPr>
          <w:trHeight w:val="831" w:hRule="atLeast"/>
        </w:trPr>
        <w:tc>
          <w:tcPr>
            <w:tcW w:w="281" w:type="pct"/>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p>
        </w:tc>
        <w:tc>
          <w:tcPr>
            <w:tcW w:w="1458"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textAlignment w:val="center"/>
              <w:rPr>
                <w:rFonts w:ascii="仿宋_GB2312" w:hAnsi="宋体" w:eastAsia="仿宋_GB2312" w:cs="仿宋_GB2312"/>
              </w:rPr>
            </w:pPr>
            <w:r>
              <w:rPr>
                <w:rFonts w:hint="eastAsia" w:ascii="仿宋_GB2312" w:hAnsi="宋体" w:eastAsia="仿宋_GB2312" w:cs="仿宋_GB2312"/>
              </w:rPr>
              <w:t>16.劳动年龄人口平均受教育年限</w:t>
            </w:r>
          </w:p>
        </w:tc>
        <w:tc>
          <w:tcPr>
            <w:tcW w:w="36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年</w:t>
            </w:r>
          </w:p>
        </w:tc>
        <w:tc>
          <w:tcPr>
            <w:tcW w:w="89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11.29</w:t>
            </w:r>
          </w:p>
        </w:tc>
        <w:tc>
          <w:tcPr>
            <w:tcW w:w="728"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11.5</w:t>
            </w:r>
          </w:p>
        </w:tc>
        <w:tc>
          <w:tcPr>
            <w:tcW w:w="77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w:t>
            </w:r>
          </w:p>
        </w:tc>
        <w:tc>
          <w:tcPr>
            <w:tcW w:w="50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约束性</w:t>
            </w:r>
          </w:p>
        </w:tc>
      </w:tr>
      <w:tr>
        <w:tblPrEx>
          <w:tblCellMar>
            <w:top w:w="0" w:type="dxa"/>
            <w:left w:w="0" w:type="dxa"/>
            <w:bottom w:w="0" w:type="dxa"/>
            <w:right w:w="0" w:type="dxa"/>
          </w:tblCellMar>
        </w:tblPrEx>
        <w:trPr>
          <w:trHeight w:val="444" w:hRule="atLeast"/>
        </w:trPr>
        <w:tc>
          <w:tcPr>
            <w:tcW w:w="281" w:type="pct"/>
            <w:vMerge w:val="continue"/>
            <w:tcBorders>
              <w:top w:val="single" w:color="auto" w:sz="4" w:space="0"/>
              <w:left w:val="single" w:color="auto"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p>
        </w:tc>
        <w:tc>
          <w:tcPr>
            <w:tcW w:w="1458"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textAlignment w:val="center"/>
              <w:rPr>
                <w:rFonts w:ascii="仿宋_GB2312" w:hAnsi="宋体" w:eastAsia="仿宋_GB2312" w:cs="仿宋_GB2312"/>
              </w:rPr>
            </w:pPr>
            <w:r>
              <w:rPr>
                <w:rFonts w:hint="eastAsia" w:ascii="仿宋_GB2312" w:hAnsi="宋体" w:eastAsia="仿宋_GB2312" w:cs="仿宋_GB2312"/>
              </w:rPr>
              <w:t>17.人均预期寿命</w:t>
            </w:r>
          </w:p>
        </w:tc>
        <w:tc>
          <w:tcPr>
            <w:tcW w:w="360"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岁</w:t>
            </w:r>
          </w:p>
        </w:tc>
        <w:tc>
          <w:tcPr>
            <w:tcW w:w="892"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w:t>
            </w:r>
          </w:p>
        </w:tc>
        <w:tc>
          <w:tcPr>
            <w:tcW w:w="728"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80.5</w:t>
            </w:r>
          </w:p>
        </w:tc>
        <w:tc>
          <w:tcPr>
            <w:tcW w:w="775"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w:t>
            </w:r>
          </w:p>
        </w:tc>
        <w:tc>
          <w:tcPr>
            <w:tcW w:w="505"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预期性</w:t>
            </w:r>
          </w:p>
        </w:tc>
      </w:tr>
      <w:tr>
        <w:trPr>
          <w:trHeight w:val="831" w:hRule="atLeast"/>
        </w:trPr>
        <w:tc>
          <w:tcPr>
            <w:tcW w:w="281" w:type="pct"/>
            <w:vMerge w:val="continue"/>
            <w:tcBorders>
              <w:left w:val="single" w:color="auto"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textAlignment w:val="center"/>
              <w:rPr>
                <w:rFonts w:ascii="仿宋_GB2312" w:hAnsi="宋体" w:eastAsia="仿宋_GB2312" w:cs="仿宋_GB2312"/>
              </w:rPr>
            </w:pPr>
            <w:r>
              <w:rPr>
                <w:rFonts w:hint="eastAsia" w:ascii="仿宋_GB2312" w:hAnsi="宋体" w:eastAsia="仿宋_GB2312" w:cs="仿宋_GB2312"/>
              </w:rPr>
              <w:t>18.每千人口拥有执业（助理）医师数</w:t>
            </w:r>
          </w:p>
        </w:tc>
        <w:tc>
          <w:tcPr>
            <w:tcW w:w="3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人</w:t>
            </w:r>
          </w:p>
        </w:tc>
        <w:tc>
          <w:tcPr>
            <w:tcW w:w="8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2.8</w:t>
            </w:r>
          </w:p>
        </w:tc>
        <w:tc>
          <w:tcPr>
            <w:tcW w:w="7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3.1</w:t>
            </w:r>
          </w:p>
        </w:tc>
        <w:tc>
          <w:tcPr>
            <w:tcW w:w="7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w:t>
            </w:r>
          </w:p>
        </w:tc>
        <w:tc>
          <w:tcPr>
            <w:tcW w:w="5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预期性</w:t>
            </w:r>
          </w:p>
        </w:tc>
      </w:tr>
      <w:tr>
        <w:tblPrEx>
          <w:tblCellMar>
            <w:top w:w="0" w:type="dxa"/>
            <w:left w:w="0" w:type="dxa"/>
            <w:bottom w:w="0" w:type="dxa"/>
            <w:right w:w="0" w:type="dxa"/>
          </w:tblCellMar>
        </w:tblPrEx>
        <w:trPr>
          <w:trHeight w:val="444" w:hRule="atLeast"/>
        </w:trPr>
        <w:tc>
          <w:tcPr>
            <w:tcW w:w="281" w:type="pct"/>
            <w:vMerge w:val="continue"/>
            <w:tcBorders>
              <w:left w:val="single" w:color="auto"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textAlignment w:val="center"/>
              <w:rPr>
                <w:rFonts w:ascii="仿宋_GB2312" w:hAnsi="宋体" w:eastAsia="仿宋_GB2312" w:cs="仿宋_GB2312"/>
              </w:rPr>
            </w:pPr>
            <w:r>
              <w:rPr>
                <w:rFonts w:hint="eastAsia" w:ascii="仿宋_GB2312" w:hAnsi="宋体" w:eastAsia="仿宋_GB2312" w:cs="仿宋_GB2312"/>
              </w:rPr>
              <w:t>19.基本养老保险参保率</w:t>
            </w:r>
          </w:p>
        </w:tc>
        <w:tc>
          <w:tcPr>
            <w:tcW w:w="3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w:t>
            </w:r>
          </w:p>
        </w:tc>
        <w:tc>
          <w:tcPr>
            <w:tcW w:w="8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96</w:t>
            </w:r>
          </w:p>
        </w:tc>
        <w:tc>
          <w:tcPr>
            <w:tcW w:w="7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96.5</w:t>
            </w:r>
          </w:p>
        </w:tc>
        <w:tc>
          <w:tcPr>
            <w:tcW w:w="7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w:t>
            </w:r>
          </w:p>
        </w:tc>
        <w:tc>
          <w:tcPr>
            <w:tcW w:w="5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约束性</w:t>
            </w:r>
          </w:p>
        </w:tc>
      </w:tr>
      <w:tr>
        <w:tblPrEx>
          <w:tblCellMar>
            <w:top w:w="0" w:type="dxa"/>
            <w:left w:w="0" w:type="dxa"/>
            <w:bottom w:w="0" w:type="dxa"/>
            <w:right w:w="0" w:type="dxa"/>
          </w:tblCellMar>
        </w:tblPrEx>
        <w:trPr>
          <w:trHeight w:val="831" w:hRule="atLeast"/>
        </w:trPr>
        <w:tc>
          <w:tcPr>
            <w:tcW w:w="281" w:type="pct"/>
            <w:vMerge w:val="continue"/>
            <w:tcBorders>
              <w:left w:val="single" w:color="auto"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textAlignment w:val="center"/>
              <w:rPr>
                <w:rFonts w:ascii="仿宋_GB2312" w:hAnsi="宋体" w:eastAsia="仿宋_GB2312" w:cs="仿宋_GB2312"/>
              </w:rPr>
            </w:pPr>
            <w:r>
              <w:rPr>
                <w:rFonts w:hint="eastAsia" w:ascii="仿宋_GB2312" w:hAnsi="宋体" w:eastAsia="仿宋_GB2312" w:cs="仿宋_GB2312"/>
              </w:rPr>
              <w:t>20.每千人拥有3岁以下婴幼儿托位数</w:t>
            </w:r>
          </w:p>
        </w:tc>
        <w:tc>
          <w:tcPr>
            <w:tcW w:w="3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个</w:t>
            </w:r>
          </w:p>
        </w:tc>
        <w:tc>
          <w:tcPr>
            <w:tcW w:w="8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0.7</w:t>
            </w:r>
          </w:p>
        </w:tc>
        <w:tc>
          <w:tcPr>
            <w:tcW w:w="7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2.5</w:t>
            </w:r>
          </w:p>
        </w:tc>
        <w:tc>
          <w:tcPr>
            <w:tcW w:w="7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w:t>
            </w:r>
          </w:p>
        </w:tc>
        <w:tc>
          <w:tcPr>
            <w:tcW w:w="5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约束性</w:t>
            </w:r>
          </w:p>
        </w:tc>
      </w:tr>
      <w:tr>
        <w:tblPrEx>
          <w:tblCellMar>
            <w:top w:w="0" w:type="dxa"/>
            <w:left w:w="0" w:type="dxa"/>
            <w:bottom w:w="0" w:type="dxa"/>
            <w:right w:w="0" w:type="dxa"/>
          </w:tblCellMar>
        </w:tblPrEx>
        <w:trPr>
          <w:trHeight w:val="444" w:hRule="atLeast"/>
        </w:trPr>
        <w:tc>
          <w:tcPr>
            <w:tcW w:w="281" w:type="pct"/>
            <w:vMerge w:val="continue"/>
            <w:tcBorders>
              <w:left w:val="single" w:color="auto"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textAlignment w:val="center"/>
              <w:rPr>
                <w:rFonts w:ascii="仿宋_GB2312" w:hAnsi="宋体" w:eastAsia="仿宋_GB2312" w:cs="仿宋_GB2312"/>
              </w:rPr>
            </w:pPr>
            <w:r>
              <w:rPr>
                <w:rFonts w:hint="eastAsia" w:ascii="仿宋_GB2312" w:hAnsi="宋体" w:eastAsia="仿宋_GB2312" w:cs="仿宋_GB2312"/>
              </w:rPr>
              <w:t>21.安居型商品房建设套数</w:t>
            </w:r>
          </w:p>
        </w:tc>
        <w:tc>
          <w:tcPr>
            <w:tcW w:w="3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套</w:t>
            </w:r>
          </w:p>
        </w:tc>
        <w:tc>
          <w:tcPr>
            <w:tcW w:w="8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230</w:t>
            </w:r>
          </w:p>
        </w:tc>
        <w:tc>
          <w:tcPr>
            <w:tcW w:w="7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16700</w:t>
            </w:r>
          </w:p>
        </w:tc>
        <w:tc>
          <w:tcPr>
            <w:tcW w:w="7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w:t>
            </w:r>
          </w:p>
        </w:tc>
        <w:tc>
          <w:tcPr>
            <w:tcW w:w="5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预期性</w:t>
            </w:r>
          </w:p>
        </w:tc>
      </w:tr>
      <w:tr>
        <w:tblPrEx>
          <w:tblCellMar>
            <w:top w:w="0" w:type="dxa"/>
            <w:left w:w="0" w:type="dxa"/>
            <w:bottom w:w="0" w:type="dxa"/>
            <w:right w:w="0" w:type="dxa"/>
          </w:tblCellMar>
        </w:tblPrEx>
        <w:trPr>
          <w:trHeight w:val="831" w:hRule="atLeast"/>
        </w:trPr>
        <w:tc>
          <w:tcPr>
            <w:tcW w:w="281"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生态文明</w:t>
            </w: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textAlignment w:val="center"/>
              <w:rPr>
                <w:rFonts w:ascii="仿宋_GB2312" w:hAnsi="宋体" w:eastAsia="仿宋_GB2312" w:cs="仿宋_GB2312"/>
              </w:rPr>
            </w:pPr>
            <w:r>
              <w:rPr>
                <w:rFonts w:hint="eastAsia" w:ascii="仿宋_GB2312" w:hAnsi="宋体" w:eastAsia="仿宋_GB2312" w:cs="仿宋_GB2312"/>
              </w:rPr>
              <w:t>22.单位地区生产总值能源消耗降幅</w:t>
            </w:r>
          </w:p>
        </w:tc>
        <w:tc>
          <w:tcPr>
            <w:tcW w:w="3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w:t>
            </w:r>
          </w:p>
        </w:tc>
        <w:tc>
          <w:tcPr>
            <w:tcW w:w="8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w:t>
            </w:r>
          </w:p>
        </w:tc>
        <w:tc>
          <w:tcPr>
            <w:tcW w:w="7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rPr>
                <w:rFonts w:ascii="仿宋_GB2312" w:hAnsi="宋体" w:eastAsia="仿宋_GB2312" w:cs="仿宋_GB2312"/>
                <w:sz w:val="24"/>
                <w:szCs w:val="24"/>
              </w:rPr>
            </w:pPr>
            <w:r>
              <w:rPr>
                <w:rFonts w:hint="eastAsia" w:ascii="仿宋_GB2312" w:hAnsi="宋体" w:eastAsia="仿宋_GB2312" w:cs="仿宋_GB2312"/>
              </w:rPr>
              <w:t>完成省下达目标</w:t>
            </w:r>
          </w:p>
        </w:tc>
        <w:tc>
          <w:tcPr>
            <w:tcW w:w="7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w:t>
            </w:r>
          </w:p>
        </w:tc>
        <w:tc>
          <w:tcPr>
            <w:tcW w:w="5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约束性</w:t>
            </w:r>
          </w:p>
        </w:tc>
      </w:tr>
      <w:tr>
        <w:tblPrEx>
          <w:tblCellMar>
            <w:top w:w="0" w:type="dxa"/>
            <w:left w:w="0" w:type="dxa"/>
            <w:bottom w:w="0" w:type="dxa"/>
            <w:right w:w="0" w:type="dxa"/>
          </w:tblCellMar>
        </w:tblPrEx>
        <w:trPr>
          <w:trHeight w:val="831" w:hRule="atLeast"/>
        </w:trPr>
        <w:tc>
          <w:tcPr>
            <w:tcW w:w="281" w:type="pct"/>
            <w:vMerge w:val="continue"/>
            <w:tcBorders>
              <w:left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textAlignment w:val="center"/>
              <w:rPr>
                <w:rFonts w:ascii="仿宋_GB2312" w:hAnsi="宋体" w:eastAsia="仿宋_GB2312" w:cs="仿宋_GB2312"/>
              </w:rPr>
            </w:pPr>
            <w:r>
              <w:rPr>
                <w:rFonts w:hint="eastAsia" w:ascii="仿宋_GB2312" w:hAnsi="宋体" w:eastAsia="仿宋_GB2312" w:cs="仿宋_GB2312"/>
              </w:rPr>
              <w:t>23.单位地区生产总值二氧化碳排放降幅</w:t>
            </w:r>
          </w:p>
        </w:tc>
        <w:tc>
          <w:tcPr>
            <w:tcW w:w="3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w:t>
            </w:r>
          </w:p>
        </w:tc>
        <w:tc>
          <w:tcPr>
            <w:tcW w:w="8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w:t>
            </w:r>
          </w:p>
        </w:tc>
        <w:tc>
          <w:tcPr>
            <w:tcW w:w="7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rPr>
                <w:rFonts w:ascii="仿宋_GB2312" w:hAnsi="宋体" w:eastAsia="仿宋_GB2312" w:cs="仿宋_GB2312"/>
                <w:sz w:val="24"/>
                <w:szCs w:val="24"/>
              </w:rPr>
            </w:pPr>
            <w:r>
              <w:rPr>
                <w:rFonts w:hint="eastAsia" w:ascii="仿宋_GB2312" w:hAnsi="宋体" w:eastAsia="仿宋_GB2312" w:cs="仿宋_GB2312"/>
              </w:rPr>
              <w:t>完成省下达目标</w:t>
            </w:r>
          </w:p>
        </w:tc>
        <w:tc>
          <w:tcPr>
            <w:tcW w:w="7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w:t>
            </w:r>
          </w:p>
        </w:tc>
        <w:tc>
          <w:tcPr>
            <w:tcW w:w="5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约束性</w:t>
            </w:r>
          </w:p>
        </w:tc>
      </w:tr>
      <w:tr>
        <w:trPr>
          <w:trHeight w:val="1219" w:hRule="atLeast"/>
        </w:trPr>
        <w:tc>
          <w:tcPr>
            <w:tcW w:w="281" w:type="pct"/>
            <w:vMerge w:val="continue"/>
            <w:tcBorders>
              <w:left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textAlignment w:val="center"/>
              <w:rPr>
                <w:rFonts w:ascii="仿宋_GB2312" w:hAnsi="宋体" w:eastAsia="仿宋_GB2312" w:cs="仿宋_GB2312"/>
              </w:rPr>
            </w:pPr>
            <w:r>
              <w:rPr>
                <w:rFonts w:hint="eastAsia" w:ascii="仿宋_GB2312" w:hAnsi="宋体" w:eastAsia="仿宋_GB2312" w:cs="仿宋_GB2312"/>
              </w:rPr>
              <w:t>24.细颗粒物（PM2.5）浓度</w:t>
            </w:r>
          </w:p>
        </w:tc>
        <w:tc>
          <w:tcPr>
            <w:tcW w:w="3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rPr>
                <w:rFonts w:ascii="仿宋_GB2312" w:hAnsi="宋体" w:eastAsia="仿宋_GB2312" w:cs="仿宋_GB2312"/>
                <w:sz w:val="18"/>
                <w:szCs w:val="18"/>
              </w:rPr>
            </w:pPr>
            <w:r>
              <w:rPr>
                <w:rFonts w:hint="eastAsia" w:ascii="仿宋_GB2312" w:hAnsi="宋体" w:eastAsia="仿宋_GB2312" w:cs="仿宋_GB2312"/>
                <w:sz w:val="18"/>
                <w:szCs w:val="18"/>
              </w:rPr>
              <w:t>微克/每立方米</w:t>
            </w:r>
          </w:p>
        </w:tc>
        <w:tc>
          <w:tcPr>
            <w:tcW w:w="8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13</w:t>
            </w:r>
          </w:p>
        </w:tc>
        <w:tc>
          <w:tcPr>
            <w:tcW w:w="7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11</w:t>
            </w:r>
          </w:p>
        </w:tc>
        <w:tc>
          <w:tcPr>
            <w:tcW w:w="7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w:t>
            </w:r>
          </w:p>
        </w:tc>
        <w:tc>
          <w:tcPr>
            <w:tcW w:w="5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约束性</w:t>
            </w:r>
          </w:p>
        </w:tc>
      </w:tr>
      <w:tr>
        <w:tblPrEx>
          <w:tblCellMar>
            <w:top w:w="0" w:type="dxa"/>
            <w:left w:w="0" w:type="dxa"/>
            <w:bottom w:w="0" w:type="dxa"/>
            <w:right w:w="0" w:type="dxa"/>
          </w:tblCellMar>
        </w:tblPrEx>
        <w:trPr>
          <w:trHeight w:val="831" w:hRule="atLeast"/>
        </w:trPr>
        <w:tc>
          <w:tcPr>
            <w:tcW w:w="281" w:type="pct"/>
            <w:vMerge w:val="continue"/>
            <w:tcBorders>
              <w:left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textAlignment w:val="center"/>
              <w:rPr>
                <w:rFonts w:ascii="仿宋_GB2312" w:hAnsi="宋体" w:eastAsia="仿宋_GB2312" w:cs="仿宋_GB2312"/>
              </w:rPr>
            </w:pPr>
            <w:r>
              <w:rPr>
                <w:rFonts w:hint="eastAsia" w:ascii="仿宋_GB2312" w:hAnsi="宋体" w:eastAsia="仿宋_GB2312" w:cs="仿宋_GB2312"/>
              </w:rPr>
              <w:t>25.市县空气质量优良天数比例</w:t>
            </w:r>
          </w:p>
        </w:tc>
        <w:tc>
          <w:tcPr>
            <w:tcW w:w="3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w:t>
            </w:r>
          </w:p>
        </w:tc>
        <w:tc>
          <w:tcPr>
            <w:tcW w:w="8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100</w:t>
            </w:r>
          </w:p>
        </w:tc>
        <w:tc>
          <w:tcPr>
            <w:tcW w:w="7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&gt;98</w:t>
            </w:r>
          </w:p>
        </w:tc>
        <w:tc>
          <w:tcPr>
            <w:tcW w:w="7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w:t>
            </w:r>
          </w:p>
        </w:tc>
        <w:tc>
          <w:tcPr>
            <w:tcW w:w="5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约束性</w:t>
            </w:r>
          </w:p>
        </w:tc>
      </w:tr>
      <w:tr>
        <w:tblPrEx>
          <w:tblCellMar>
            <w:top w:w="0" w:type="dxa"/>
            <w:left w:w="0" w:type="dxa"/>
            <w:bottom w:w="0" w:type="dxa"/>
            <w:right w:w="0" w:type="dxa"/>
          </w:tblCellMar>
        </w:tblPrEx>
        <w:trPr>
          <w:trHeight w:val="831" w:hRule="atLeast"/>
        </w:trPr>
        <w:tc>
          <w:tcPr>
            <w:tcW w:w="281" w:type="pct"/>
            <w:vMerge w:val="continue"/>
            <w:tcBorders>
              <w:left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textAlignment w:val="center"/>
              <w:rPr>
                <w:rFonts w:ascii="仿宋_GB2312" w:hAnsi="宋体" w:eastAsia="仿宋_GB2312" w:cs="仿宋_GB2312"/>
              </w:rPr>
            </w:pPr>
            <w:r>
              <w:rPr>
                <w:rFonts w:hint="eastAsia" w:ascii="仿宋_GB2312" w:hAnsi="宋体" w:eastAsia="仿宋_GB2312" w:cs="仿宋_GB2312"/>
              </w:rPr>
              <w:t>26.达到或好于</w:t>
            </w:r>
            <w:r>
              <w:rPr>
                <w:rFonts w:hint="eastAsia" w:ascii="仿宋_GB2312" w:hAnsi="仿宋_GB2312" w:eastAsia="仿宋_GB2312" w:cs="仿宋_GB2312"/>
              </w:rPr>
              <w:t>Ⅲ类水体比例</w:t>
            </w:r>
          </w:p>
        </w:tc>
        <w:tc>
          <w:tcPr>
            <w:tcW w:w="3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w:t>
            </w:r>
          </w:p>
        </w:tc>
        <w:tc>
          <w:tcPr>
            <w:tcW w:w="8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100</w:t>
            </w:r>
          </w:p>
        </w:tc>
        <w:tc>
          <w:tcPr>
            <w:tcW w:w="7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&gt;</w:t>
            </w:r>
            <w:r>
              <w:rPr>
                <w:rFonts w:hint="eastAsia" w:ascii="仿宋_GB2312" w:hAnsi="仿宋_GB2312" w:eastAsia="仿宋_GB2312" w:cs="仿宋_GB2312"/>
                <w:sz w:val="24"/>
                <w:szCs w:val="24"/>
              </w:rPr>
              <w:t>95</w:t>
            </w:r>
          </w:p>
        </w:tc>
        <w:tc>
          <w:tcPr>
            <w:tcW w:w="7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w:t>
            </w:r>
          </w:p>
        </w:tc>
        <w:tc>
          <w:tcPr>
            <w:tcW w:w="5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约束性</w:t>
            </w:r>
          </w:p>
        </w:tc>
      </w:tr>
      <w:tr>
        <w:tblPrEx>
          <w:tblCellMar>
            <w:top w:w="0" w:type="dxa"/>
            <w:left w:w="0" w:type="dxa"/>
            <w:bottom w:w="0" w:type="dxa"/>
            <w:right w:w="0" w:type="dxa"/>
          </w:tblCellMar>
        </w:tblPrEx>
        <w:trPr>
          <w:trHeight w:val="466" w:hRule="atLeast"/>
        </w:trPr>
        <w:tc>
          <w:tcPr>
            <w:tcW w:w="281"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textAlignment w:val="center"/>
              <w:rPr>
                <w:rFonts w:ascii="仿宋_GB2312" w:hAnsi="宋体" w:eastAsia="仿宋_GB2312" w:cs="仿宋_GB2312"/>
              </w:rPr>
            </w:pPr>
            <w:r>
              <w:rPr>
                <w:rFonts w:hint="eastAsia" w:ascii="仿宋_GB2312" w:hAnsi="宋体" w:eastAsia="仿宋_GB2312" w:cs="仿宋_GB2312"/>
              </w:rPr>
              <w:t>27.森林覆盖率</w:t>
            </w:r>
          </w:p>
        </w:tc>
        <w:tc>
          <w:tcPr>
            <w:tcW w:w="3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w:t>
            </w:r>
          </w:p>
        </w:tc>
        <w:tc>
          <w:tcPr>
            <w:tcW w:w="8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69</w:t>
            </w:r>
          </w:p>
        </w:tc>
        <w:tc>
          <w:tcPr>
            <w:tcW w:w="7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&gt;62.1</w:t>
            </w:r>
          </w:p>
        </w:tc>
        <w:tc>
          <w:tcPr>
            <w:tcW w:w="7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24"/>
                <w:szCs w:val="24"/>
              </w:rPr>
            </w:pPr>
            <w:r>
              <w:rPr>
                <w:rFonts w:hint="eastAsia" w:ascii="仿宋_GB2312" w:hAnsi="宋体" w:eastAsia="仿宋_GB2312" w:cs="仿宋_GB2312"/>
                <w:sz w:val="24"/>
                <w:szCs w:val="24"/>
              </w:rPr>
              <w:t>-</w:t>
            </w:r>
          </w:p>
        </w:tc>
        <w:tc>
          <w:tcPr>
            <w:tcW w:w="5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rFonts w:ascii="仿宋_GB2312" w:hAnsi="宋体" w:eastAsia="仿宋_GB2312" w:cs="仿宋_GB2312"/>
                <w:sz w:val="18"/>
                <w:szCs w:val="18"/>
              </w:rPr>
            </w:pPr>
            <w:r>
              <w:rPr>
                <w:rFonts w:hint="eastAsia" w:ascii="仿宋_GB2312" w:hAnsi="宋体" w:eastAsia="仿宋_GB2312" w:cs="仿宋_GB2312"/>
                <w:sz w:val="18"/>
                <w:szCs w:val="18"/>
              </w:rPr>
              <w:t>约束性</w:t>
            </w:r>
          </w:p>
        </w:tc>
      </w:tr>
    </w:tbl>
    <w:p>
      <w:pPr>
        <w:pStyle w:val="15"/>
        <w:widowControl w:val="0"/>
        <w:rPr>
          <w:color w:val="auto"/>
        </w:rPr>
      </w:pPr>
      <w:bookmarkStart w:id="105" w:name="_Toc25094"/>
      <w:bookmarkStart w:id="106" w:name="_Toc30803"/>
      <w:r>
        <w:rPr>
          <w:rFonts w:ascii="仿宋_GB2312" w:eastAsia="仿宋_GB2312" w:cs="仿宋_GB2312"/>
          <w:color w:val="auto"/>
          <w:sz w:val="21"/>
          <w:szCs w:val="21"/>
        </w:rPr>
        <w:t>注：达到或好于Ⅲ类水体比例指省控地表水水质优良比例。</w:t>
      </w:r>
      <w:bookmarkEnd w:id="105"/>
      <w:bookmarkEnd w:id="106"/>
    </w:p>
    <w:p>
      <w:pPr>
        <w:spacing w:line="580" w:lineRule="exact"/>
        <w:rPr>
          <w:rFonts w:ascii="黑体" w:hAnsi="黑体" w:eastAsia="黑体"/>
        </w:rPr>
      </w:pPr>
      <w:bookmarkStart w:id="107" w:name="_Toc25009"/>
      <w:bookmarkStart w:id="108" w:name="_Toc23849"/>
      <w:bookmarkStart w:id="109" w:name="_Toc15040"/>
      <w:bookmarkStart w:id="110" w:name="_Toc18206"/>
      <w:bookmarkStart w:id="111" w:name="_Toc31862"/>
      <w:bookmarkStart w:id="112" w:name="_Toc2441"/>
      <w:bookmarkStart w:id="113" w:name="_Toc8559"/>
      <w:bookmarkStart w:id="114" w:name="_Toc5866"/>
      <w:bookmarkStart w:id="115" w:name="_Toc12559"/>
      <w:r>
        <w:rPr>
          <w:rFonts w:hint="eastAsia" w:ascii="黑体" w:hAnsi="黑体" w:eastAsia="黑体"/>
        </w:rPr>
        <w:br w:type="page"/>
      </w:r>
    </w:p>
    <w:p>
      <w:pPr>
        <w:pStyle w:val="9"/>
        <w:widowControl w:val="0"/>
        <w:spacing w:line="600" w:lineRule="exact"/>
        <w:rPr>
          <w:rFonts w:ascii="黑体" w:hAnsi="黑体" w:eastAsia="黑体"/>
        </w:rPr>
      </w:pPr>
      <w:r>
        <w:rPr>
          <w:rFonts w:hint="eastAsia" w:ascii="黑体" w:hAnsi="黑体" w:eastAsia="黑体"/>
        </w:rPr>
        <w:t>第三章</w:t>
      </w:r>
      <w:r>
        <w:rPr>
          <w:rFonts w:ascii="黑体" w:hAnsi="黑体" w:eastAsia="黑体"/>
        </w:rPr>
        <w:t xml:space="preserve">  </w:t>
      </w:r>
      <w:bookmarkEnd w:id="107"/>
      <w:bookmarkEnd w:id="108"/>
      <w:bookmarkEnd w:id="109"/>
      <w:bookmarkEnd w:id="110"/>
      <w:bookmarkEnd w:id="111"/>
      <w:bookmarkEnd w:id="112"/>
      <w:bookmarkEnd w:id="113"/>
      <w:r>
        <w:rPr>
          <w:rFonts w:hint="eastAsia" w:ascii="黑体" w:hAnsi="黑体" w:eastAsia="黑体"/>
        </w:rPr>
        <w:t>争当海南自由贸易港建设示范标杆</w:t>
      </w:r>
      <w:bookmarkEnd w:id="114"/>
      <w:bookmarkEnd w:id="115"/>
    </w:p>
    <w:p>
      <w:pPr>
        <w:widowControl w:val="0"/>
        <w:spacing w:line="600" w:lineRule="exact"/>
        <w:ind w:left="220" w:leftChars="105" w:firstLine="624" w:firstLineChars="195"/>
        <w:rPr>
          <w:rFonts w:ascii="仿宋_GB2312" w:hAnsi="仿宋_GB2312" w:eastAsia="仿宋_GB2312" w:cs="仿宋_GB2312"/>
          <w:sz w:val="32"/>
          <w:szCs w:val="32"/>
        </w:rPr>
      </w:pPr>
      <w:r>
        <w:rPr>
          <w:rFonts w:hint="eastAsia" w:ascii="仿宋_GB2312" w:hAnsi="仿宋_GB2312" w:eastAsia="仿宋_GB2312" w:cs="仿宋_GB2312"/>
          <w:sz w:val="32"/>
          <w:szCs w:val="32"/>
        </w:rPr>
        <w:t>充分发挥琼海作为海南东部中心城市的交通区位优势、博鳌亚洲论坛的对外开放优势、博鳌乐城国际医疗旅游先行区的功能平台优势和全域旅游的集聚消费优势，大力推进自贸港政策</w:t>
      </w:r>
      <w:r>
        <w:rPr>
          <w:rFonts w:ascii="仿宋_GB2312" w:hAnsi="仿宋_GB2312" w:eastAsia="仿宋_GB2312" w:cs="仿宋_GB2312"/>
          <w:sz w:val="32"/>
          <w:szCs w:val="32"/>
        </w:rPr>
        <w:t>和制度体系</w:t>
      </w:r>
      <w:r>
        <w:rPr>
          <w:rFonts w:hint="eastAsia" w:ascii="仿宋_GB2312" w:hAnsi="仿宋_GB2312" w:eastAsia="仿宋_GB2312" w:cs="仿宋_GB2312"/>
          <w:sz w:val="32"/>
          <w:szCs w:val="32"/>
        </w:rPr>
        <w:t>落地见效，发挥琼海连接和畅通国内国际双循环的重要枢纽作用，为将海南自贸港建设成为国内国际双循环的战略链接和交汇点作出琼海贡献。</w:t>
      </w:r>
    </w:p>
    <w:p>
      <w:pPr>
        <w:pStyle w:val="9"/>
        <w:widowControl w:val="0"/>
        <w:spacing w:line="600" w:lineRule="exact"/>
        <w:outlineLvl w:val="1"/>
        <w:rPr>
          <w:rFonts w:ascii="楷体" w:hAnsi="楷体" w:eastAsia="楷体" w:cs="楷体"/>
        </w:rPr>
      </w:pPr>
      <w:bookmarkStart w:id="116" w:name="_Toc1102"/>
      <w:bookmarkStart w:id="117" w:name="_Toc37358441"/>
      <w:bookmarkStart w:id="118" w:name="_Toc25469"/>
      <w:bookmarkStart w:id="119" w:name="_Toc24807"/>
      <w:bookmarkStart w:id="120" w:name="_Toc30023"/>
      <w:bookmarkStart w:id="121" w:name="_Toc4375"/>
      <w:bookmarkStart w:id="122" w:name="_Toc1250"/>
      <w:bookmarkStart w:id="123" w:name="_Toc10703"/>
      <w:bookmarkStart w:id="124" w:name="_Toc22778"/>
      <w:bookmarkStart w:id="125" w:name="_Toc56346924"/>
      <w:bookmarkStart w:id="126" w:name="_Toc26169"/>
      <w:bookmarkStart w:id="127" w:name="_Toc13769"/>
      <w:bookmarkStart w:id="128" w:name="_Toc15456"/>
      <w:r>
        <w:rPr>
          <w:rFonts w:hint="eastAsia" w:ascii="楷体" w:hAnsi="楷体" w:eastAsia="楷体" w:cs="楷体"/>
        </w:rPr>
        <w:t>第一节</w:t>
      </w:r>
      <w:r>
        <w:rPr>
          <w:rFonts w:ascii="楷体" w:hAnsi="楷体" w:eastAsia="楷体" w:cs="楷体"/>
        </w:rPr>
        <w:t xml:space="preserve">  </w:t>
      </w:r>
      <w:bookmarkEnd w:id="116"/>
      <w:bookmarkEnd w:id="117"/>
      <w:r>
        <w:rPr>
          <w:rFonts w:hint="eastAsia" w:ascii="楷体" w:hAnsi="楷体" w:eastAsia="楷体" w:cs="楷体"/>
        </w:rPr>
        <w:t>发展“零关税”产业</w:t>
      </w:r>
      <w:bookmarkEnd w:id="118"/>
      <w:bookmarkEnd w:id="119"/>
      <w:bookmarkEnd w:id="120"/>
      <w:bookmarkEnd w:id="121"/>
      <w:bookmarkEnd w:id="122"/>
      <w:bookmarkEnd w:id="123"/>
      <w:bookmarkEnd w:id="124"/>
      <w:bookmarkEnd w:id="125"/>
      <w:bookmarkEnd w:id="126"/>
      <w:bookmarkEnd w:id="127"/>
      <w:bookmarkEnd w:id="128"/>
    </w:p>
    <w:p>
      <w:pPr>
        <w:widowControl w:val="0"/>
        <w:spacing w:line="600" w:lineRule="exact"/>
        <w:ind w:firstLine="624" w:firstLineChars="195"/>
        <w:rPr>
          <w:rFonts w:ascii="仿宋" w:hAnsi="仿宋" w:eastAsia="仿宋" w:cs="仿宋"/>
          <w:sz w:val="32"/>
          <w:szCs w:val="32"/>
        </w:rPr>
      </w:pPr>
      <w:r>
        <w:rPr>
          <w:rFonts w:hint="eastAsia" w:ascii="Times New Roman" w:hAnsi="Times New Roman" w:eastAsia="仿宋_GB2312" w:cs="仿宋_GB2312"/>
          <w:sz w:val="32"/>
          <w:szCs w:val="32"/>
        </w:rPr>
        <w:t>落地实施部分进口商品“一负三正”四张清单零关税政策，用足用好免税购物政策、</w:t>
      </w:r>
      <w:r>
        <w:rPr>
          <w:rFonts w:hint="eastAsia" w:ascii="仿宋_GB2312" w:hAnsi="仿宋_GB2312" w:eastAsia="仿宋_GB2312" w:cs="仿宋_GB2312"/>
          <w:sz w:val="32"/>
          <w:szCs w:val="32"/>
        </w:rPr>
        <w:t>生产设备和原辅料零关税政策，吸引主题公园、酒店、文娱、高端医疗技术研发、飞机维修等项目落地琼海。发挥营运用交通工具零关税政策，借助公务机、私人飞机注册海南自贸港税费成本低、国内飞行航段次数不受限制等优势，利用博鳌机场等空闲机位资源，吸引公务机制造企业、代理商、运营公司落地琼海。鼓励旅游服务企业引进高端旅游大巴、高端房车，提升琼海旅游舒适度和体验度。用好岛内居民购买进境商品零关税和更加开放的离岛免税购物政策，争取建设大型免税综合体，设立岛内居民零关税日用品销售店</w:t>
      </w:r>
      <w:r>
        <w:rPr>
          <w:rFonts w:ascii="仿宋_GB2312" w:hAnsi="仿宋_GB2312" w:eastAsia="仿宋_GB2312" w:cs="仿宋_GB2312"/>
          <w:sz w:val="32"/>
          <w:szCs w:val="32"/>
        </w:rPr>
        <w:t>,</w:t>
      </w:r>
      <w:r>
        <w:rPr>
          <w:rFonts w:hint="eastAsia" w:ascii="Times New Roman" w:hAnsi="Times New Roman" w:eastAsia="仿宋_GB2312" w:cs="仿宋_GB2312"/>
          <w:sz w:val="32"/>
          <w:szCs w:val="32"/>
        </w:rPr>
        <w:t>不断扩大免税消费规模，拓展免税消费模式,</w:t>
      </w:r>
      <w:r>
        <w:rPr>
          <w:rFonts w:hint="eastAsia" w:ascii="仿宋_GB2312" w:hAnsi="仿宋_GB2312" w:eastAsia="仿宋_GB2312" w:cs="仿宋_GB2312"/>
          <w:sz w:val="32"/>
          <w:szCs w:val="32"/>
        </w:rPr>
        <w:t>实现免税品品牌、品种、价格与国际“三同步”，形成日用消费品免税、离境退税、离岛免税三类免税购物并存。发展跨境电商和跨境物流，不断提升免税购物体验，做大做强免税购物产业。用好博鳌乐城国际医疗旅游先行区进口商品零关税政策，吸引医疗机构进驻。积极参与全岛封关运作准备工作，高标准建设开放口岸和“二线口岸”基础设施、监管设施、信息化系统和封关运作的配套设施设备。加强琼海辖区的反走私工作，担起琼海反走私责任。</w:t>
      </w:r>
    </w:p>
    <w:p>
      <w:pPr>
        <w:pStyle w:val="9"/>
        <w:widowControl w:val="0"/>
        <w:spacing w:line="600" w:lineRule="exact"/>
        <w:outlineLvl w:val="1"/>
        <w:rPr>
          <w:rFonts w:ascii="楷体" w:hAnsi="楷体" w:eastAsia="楷体" w:cs="楷体"/>
        </w:rPr>
      </w:pPr>
      <w:bookmarkStart w:id="129" w:name="_Toc1059"/>
      <w:bookmarkStart w:id="130" w:name="_Toc5393"/>
      <w:bookmarkStart w:id="131" w:name="_Toc37358442"/>
      <w:bookmarkStart w:id="132" w:name="_Toc10409"/>
      <w:bookmarkStart w:id="133" w:name="_Toc18224"/>
      <w:bookmarkStart w:id="134" w:name="_Toc9448"/>
      <w:bookmarkStart w:id="135" w:name="_Toc12817"/>
      <w:bookmarkStart w:id="136" w:name="_Toc1684"/>
      <w:bookmarkStart w:id="137" w:name="_Toc25840"/>
      <w:bookmarkStart w:id="138" w:name="_Toc17323"/>
      <w:bookmarkStart w:id="139" w:name="_Toc19942"/>
      <w:r>
        <w:rPr>
          <w:rFonts w:hint="eastAsia" w:ascii="楷体" w:hAnsi="楷体" w:eastAsia="楷体" w:cs="楷体"/>
        </w:rPr>
        <w:t>第二节</w:t>
      </w:r>
      <w:r>
        <w:rPr>
          <w:rFonts w:ascii="楷体" w:hAnsi="楷体" w:eastAsia="楷体" w:cs="楷体"/>
        </w:rPr>
        <w:t xml:space="preserve">  </w:t>
      </w:r>
      <w:bookmarkEnd w:id="129"/>
      <w:bookmarkEnd w:id="130"/>
      <w:bookmarkEnd w:id="131"/>
      <w:bookmarkEnd w:id="132"/>
      <w:bookmarkEnd w:id="133"/>
      <w:bookmarkEnd w:id="134"/>
      <w:bookmarkEnd w:id="135"/>
      <w:bookmarkEnd w:id="136"/>
      <w:bookmarkEnd w:id="137"/>
      <w:bookmarkEnd w:id="138"/>
      <w:bookmarkEnd w:id="139"/>
      <w:r>
        <w:rPr>
          <w:rFonts w:hint="eastAsia" w:ascii="楷体" w:hAnsi="楷体" w:eastAsia="楷体" w:cs="楷体"/>
        </w:rPr>
        <w:t>推动贸易投资自由化便利化</w:t>
      </w:r>
    </w:p>
    <w:p>
      <w:pPr>
        <w:ind w:firstLine="640" w:firstLineChars="200"/>
        <w:rPr>
          <w:rFonts w:ascii="仿宋_GB2312" w:hAnsi="仿宋_GB2312" w:eastAsia="仿宋_GB2312" w:cs="仿宋_GB2312"/>
        </w:rPr>
      </w:pPr>
      <w:r>
        <w:rPr>
          <w:rFonts w:hint="eastAsia" w:ascii="仿宋_GB2312" w:hAnsi="仿宋_GB2312" w:eastAsia="仿宋_GB2312" w:cs="仿宋_GB2312"/>
          <w:sz w:val="32"/>
          <w:szCs w:val="32"/>
        </w:rPr>
        <w:t>对标国际最高水平的经贸规则，全面推进服务贸易自由化，大力推动投资便利制度，进一步激发各类市场主体活力。</w:t>
      </w:r>
    </w:p>
    <w:p>
      <w:pPr>
        <w:widowControl w:val="0"/>
        <w:spacing w:line="600" w:lineRule="exact"/>
        <w:ind w:firstLine="626" w:firstLineChars="195"/>
        <w:rPr>
          <w:rFonts w:ascii="仿宋_GB2312" w:hAnsi="仿宋_GB2312" w:eastAsia="仿宋_GB2312" w:cs="仿宋_GB2312"/>
          <w:sz w:val="32"/>
          <w:szCs w:val="32"/>
        </w:rPr>
      </w:pPr>
      <w:r>
        <w:rPr>
          <w:rFonts w:hint="eastAsia" w:ascii="仿宋_GB2312" w:hAnsi="仿宋_GB2312" w:eastAsia="仿宋_GB2312" w:cs="仿宋_GB2312"/>
          <w:b/>
          <w:sz w:val="32"/>
          <w:szCs w:val="32"/>
        </w:rPr>
        <w:t>推动贸易自由便利。</w:t>
      </w:r>
      <w:r>
        <w:rPr>
          <w:rFonts w:hint="eastAsia" w:ascii="仿宋_GB2312" w:hAnsi="仿宋_GB2312" w:eastAsia="仿宋_GB2312" w:cs="仿宋_GB2312"/>
          <w:sz w:val="32"/>
          <w:szCs w:val="32"/>
        </w:rPr>
        <w:t>围绕琼海特色优势产业发展和重要功能平台建设，加强服务贸易“既准入又准营”的制度创新，积极实施跨境服务贸易极简负面清单制度，拓展跨境交付、境外消费、自然人移动等服务贸易业态。引进境外服务贸易机构落地琼海，扩大种业、医疗、教育、体育、电信、互联网、文化、维修、金融对外开放。推动国际医疗、国际教育、入境旅游等服务贸易发展。</w:t>
      </w:r>
    </w:p>
    <w:p>
      <w:pPr>
        <w:widowControl w:val="0"/>
        <w:spacing w:line="600" w:lineRule="exact"/>
        <w:ind w:firstLine="626" w:firstLineChars="195"/>
        <w:rPr>
          <w:rFonts w:ascii="仿宋_GB2312" w:hAnsi="仿宋_GB2312" w:eastAsia="仿宋_GB2312" w:cs="仿宋_GB2312"/>
          <w:b/>
          <w:sz w:val="32"/>
          <w:szCs w:val="32"/>
        </w:rPr>
      </w:pPr>
      <w:r>
        <w:rPr>
          <w:rFonts w:hint="eastAsia" w:ascii="仿宋_GB2312" w:hAnsi="仿宋_GB2312" w:eastAsia="仿宋_GB2312" w:cs="仿宋_GB2312"/>
          <w:b/>
          <w:sz w:val="32"/>
          <w:szCs w:val="32"/>
        </w:rPr>
        <w:t>强化投资自由便利。</w:t>
      </w:r>
      <w:r>
        <w:rPr>
          <w:rFonts w:hint="eastAsia" w:ascii="仿宋_GB2312" w:hAnsi="仿宋_GB2312" w:eastAsia="仿宋_GB2312" w:cs="仿宋_GB2312"/>
          <w:sz w:val="32"/>
          <w:szCs w:val="32"/>
        </w:rPr>
        <w:t>实行海南自贸港企业所得税优惠政策和放宽市场准入特别清单、外商投资准入负面清单，用好“海南e登记”平台和国际投资“单一窗口”，落实“标准制+承诺制”的投资制度，推行以过程监管为重点的投资便利制度，落实市场主体设立、经营、注销、破产的全周期投资便利等政策。对新技术、新产业、新业态、新模式实行包容审慎监管。实施境外投资便利化综合试点。执行国家安全审查制度、社会稳定风险评估制度、产业准入环境标准制度、社会信用奖惩制度和建筑市场诚信评价管理办法。加强知识产权保护，落实知识产权领域市场主体信用分类监管、失信惩戒等政策。</w:t>
      </w:r>
    </w:p>
    <w:p>
      <w:pPr>
        <w:pStyle w:val="9"/>
        <w:widowControl w:val="0"/>
        <w:spacing w:line="600" w:lineRule="exact"/>
        <w:outlineLvl w:val="1"/>
        <w:rPr>
          <w:rFonts w:ascii="楷体" w:hAnsi="楷体" w:eastAsia="楷体" w:cs="楷体"/>
        </w:rPr>
      </w:pPr>
      <w:bookmarkStart w:id="140" w:name="_Toc16073"/>
      <w:bookmarkStart w:id="141" w:name="_Toc9487"/>
      <w:bookmarkStart w:id="142" w:name="_Toc4411"/>
      <w:bookmarkStart w:id="143" w:name="_Toc12862"/>
      <w:bookmarkStart w:id="144" w:name="_Toc14494"/>
      <w:bookmarkStart w:id="145" w:name="_Toc23747"/>
      <w:bookmarkStart w:id="146" w:name="_Toc8265"/>
      <w:bookmarkStart w:id="147" w:name="_Toc12804"/>
      <w:bookmarkStart w:id="148" w:name="_Toc7321"/>
      <w:r>
        <w:rPr>
          <w:rFonts w:hint="eastAsia" w:ascii="楷体" w:hAnsi="楷体" w:eastAsia="楷体" w:cs="楷体"/>
        </w:rPr>
        <w:t>第三节</w:t>
      </w:r>
      <w:r>
        <w:rPr>
          <w:rFonts w:ascii="楷体" w:hAnsi="楷体" w:eastAsia="楷体" w:cs="楷体"/>
        </w:rPr>
        <w:t xml:space="preserve">  </w:t>
      </w:r>
      <w:r>
        <w:rPr>
          <w:rFonts w:hint="eastAsia" w:ascii="楷体" w:hAnsi="楷体" w:eastAsia="楷体" w:cs="楷体"/>
        </w:rPr>
        <w:t>加速推动要素自由流动</w:t>
      </w:r>
    </w:p>
    <w:p>
      <w:pPr>
        <w:pStyle w:val="9"/>
        <w:widowControl w:val="0"/>
        <w:spacing w:line="600" w:lineRule="exact"/>
        <w:ind w:firstLine="640" w:firstLineChars="200"/>
        <w:jc w:val="both"/>
        <w:outlineLvl w:val="1"/>
        <w:rPr>
          <w:rFonts w:ascii="仿宋_GB2312" w:hAnsi="仿宋_GB2312" w:eastAsia="仿宋_GB2312" w:cs="仿宋_GB2312"/>
          <w:b w:val="0"/>
        </w:rPr>
      </w:pPr>
      <w:r>
        <w:rPr>
          <w:rFonts w:hint="eastAsia" w:ascii="仿宋_GB2312" w:hAnsi="仿宋_GB2312" w:eastAsia="仿宋_GB2312" w:cs="仿宋_GB2312"/>
          <w:b w:val="0"/>
        </w:rPr>
        <w:t>推进跨境流动、人员进出、运输往来自由便利和数据安全有序流动，打造国际化、开放型合作平台和优质生产要素集聚区。</w:t>
      </w:r>
    </w:p>
    <w:bookmarkEnd w:id="140"/>
    <w:bookmarkEnd w:id="141"/>
    <w:bookmarkEnd w:id="142"/>
    <w:bookmarkEnd w:id="143"/>
    <w:bookmarkEnd w:id="144"/>
    <w:bookmarkEnd w:id="145"/>
    <w:bookmarkEnd w:id="146"/>
    <w:bookmarkEnd w:id="147"/>
    <w:bookmarkEnd w:id="148"/>
    <w:p>
      <w:pPr>
        <w:widowControl w:val="0"/>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促进跨境资金自由流动。</w:t>
      </w:r>
      <w:r>
        <w:rPr>
          <w:rFonts w:hint="eastAsia" w:ascii="仿宋_GB2312" w:hAnsi="仿宋_GB2312" w:eastAsia="仿宋_GB2312" w:cs="仿宋_GB2312"/>
          <w:sz w:val="32"/>
          <w:szCs w:val="32"/>
        </w:rPr>
        <w:t>落实海南自由贸易港跨</w:t>
      </w:r>
      <w:r>
        <w:rPr>
          <w:rFonts w:ascii="仿宋_GB2312" w:hAnsi="仿宋_GB2312" w:eastAsia="仿宋_GB2312" w:cs="仿宋_GB2312"/>
          <w:sz w:val="32"/>
          <w:szCs w:val="32"/>
        </w:rPr>
        <w:t>境资金流动自由便利政策</w:t>
      </w:r>
      <w:r>
        <w:rPr>
          <w:rFonts w:hint="eastAsia" w:ascii="仿宋_GB2312" w:hAnsi="仿宋_GB2312" w:eastAsia="仿宋_GB2312" w:cs="仿宋_GB2312"/>
          <w:sz w:val="32"/>
          <w:szCs w:val="32"/>
        </w:rPr>
        <w:t>和贸易外汇收支便利化试点政策，吸引从事大宗商品贸易和离岸贸易的央企、大型国有企业、世界500强外资企业，为贸易提供服务的报关、理货、货代、保险等中介机构落地琼海。用好放宽</w:t>
      </w:r>
      <w:r>
        <w:rPr>
          <w:rFonts w:ascii="仿宋_GB2312" w:hAnsi="仿宋_GB2312" w:eastAsia="仿宋_GB2312" w:cs="仿宋_GB2312"/>
          <w:sz w:val="32"/>
          <w:szCs w:val="32"/>
        </w:rPr>
        <w:t>跨境直接投资、跨</w:t>
      </w:r>
      <w:r>
        <w:rPr>
          <w:rFonts w:hint="eastAsia" w:ascii="仿宋_GB2312" w:hAnsi="仿宋_GB2312" w:eastAsia="仿宋_GB2312" w:cs="仿宋_GB2312"/>
          <w:sz w:val="32"/>
          <w:szCs w:val="32"/>
        </w:rPr>
        <w:t>境</w:t>
      </w:r>
      <w:r>
        <w:rPr>
          <w:rFonts w:ascii="仿宋_GB2312" w:hAnsi="仿宋_GB2312" w:eastAsia="仿宋_GB2312" w:cs="仿宋_GB2312"/>
          <w:sz w:val="32"/>
          <w:szCs w:val="32"/>
        </w:rPr>
        <w:t>融资、跨境</w:t>
      </w:r>
      <w:r>
        <w:rPr>
          <w:rFonts w:hint="eastAsia" w:ascii="仿宋_GB2312" w:hAnsi="仿宋_GB2312" w:eastAsia="仿宋_GB2312" w:cs="仿宋_GB2312"/>
          <w:sz w:val="32"/>
          <w:szCs w:val="32"/>
        </w:rPr>
        <w:t>证券</w:t>
      </w:r>
      <w:r>
        <w:rPr>
          <w:rFonts w:ascii="仿宋_GB2312" w:hAnsi="仿宋_GB2312" w:eastAsia="仿宋_GB2312" w:cs="仿宋_GB2312"/>
          <w:sz w:val="32"/>
          <w:szCs w:val="32"/>
        </w:rPr>
        <w:t>投融资、</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人跨境交易等政策</w:t>
      </w:r>
      <w:r>
        <w:rPr>
          <w:rFonts w:hint="eastAsia" w:ascii="仿宋_GB2312" w:hAnsi="仿宋_GB2312" w:eastAsia="仿宋_GB2312" w:cs="仿宋_GB2312"/>
          <w:sz w:val="32"/>
          <w:szCs w:val="32"/>
        </w:rPr>
        <w:t>，特别是用好合格境外有限合伙人(QFLP)和合格境内有限合伙人(QDLP)政策，</w:t>
      </w:r>
      <w:r>
        <w:rPr>
          <w:rFonts w:hint="eastAsia" w:ascii="Times New Roman" w:hAnsi="Times New Roman" w:eastAsia="仿宋_GB2312" w:cs="仿宋_GB2312"/>
          <w:sz w:val="32"/>
          <w:szCs w:val="32"/>
        </w:rPr>
        <w:t>创新发展贸易金融、消费金融、绿色金融、科技金融等。</w:t>
      </w:r>
      <w:r>
        <w:rPr>
          <w:rFonts w:hint="eastAsia" w:ascii="仿宋_GB2312" w:hAnsi="仿宋_GB2312" w:eastAsia="仿宋_GB2312" w:cs="仿宋_GB2312"/>
          <w:sz w:val="32"/>
          <w:szCs w:val="32"/>
        </w:rPr>
        <w:t>支持</w:t>
      </w:r>
      <w:r>
        <w:rPr>
          <w:rFonts w:ascii="仿宋_GB2312" w:hAnsi="仿宋_GB2312" w:eastAsia="仿宋_GB2312" w:cs="仿宋_GB2312"/>
          <w:sz w:val="32"/>
          <w:szCs w:val="32"/>
        </w:rPr>
        <w:t>鼓励市内</w:t>
      </w: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到国际资本市场融取低成本的发展资金，</w:t>
      </w:r>
      <w:r>
        <w:rPr>
          <w:rFonts w:hint="eastAsia" w:ascii="仿宋_GB2312" w:hAnsi="仿宋_GB2312" w:eastAsia="仿宋_GB2312" w:cs="仿宋_GB2312"/>
          <w:sz w:val="32"/>
          <w:szCs w:val="32"/>
        </w:rPr>
        <w:t>引进境外资金投资琼海重点产业、重点园区，</w:t>
      </w:r>
      <w:r>
        <w:rPr>
          <w:rFonts w:ascii="仿宋_GB2312" w:hAnsi="仿宋_GB2312" w:eastAsia="仿宋_GB2312" w:cs="仿宋_GB2312"/>
          <w:sz w:val="32"/>
          <w:szCs w:val="32"/>
        </w:rPr>
        <w:t>吸引非居民</w:t>
      </w:r>
      <w:r>
        <w:rPr>
          <w:rFonts w:hint="eastAsia" w:ascii="仿宋_GB2312" w:hAnsi="仿宋_GB2312" w:eastAsia="仿宋_GB2312" w:cs="仿宋_GB2312"/>
          <w:sz w:val="32"/>
          <w:szCs w:val="32"/>
        </w:rPr>
        <w:t>特</w:t>
      </w:r>
      <w:r>
        <w:rPr>
          <w:rFonts w:ascii="仿宋_GB2312" w:hAnsi="仿宋_GB2312" w:eastAsia="仿宋_GB2312" w:cs="仿宋_GB2312"/>
          <w:sz w:val="32"/>
          <w:szCs w:val="32"/>
        </w:rPr>
        <w:t>别是海外</w:t>
      </w:r>
      <w:r>
        <w:rPr>
          <w:rFonts w:hint="eastAsia" w:ascii="仿宋_GB2312" w:hAnsi="仿宋_GB2312" w:eastAsia="仿宋_GB2312" w:cs="仿宋_GB2312"/>
          <w:sz w:val="32"/>
          <w:szCs w:val="32"/>
        </w:rPr>
        <w:t>华</w:t>
      </w:r>
      <w:r>
        <w:rPr>
          <w:rFonts w:ascii="仿宋_GB2312" w:hAnsi="仿宋_GB2312" w:eastAsia="仿宋_GB2312" w:cs="仿宋_GB2312"/>
          <w:sz w:val="32"/>
          <w:szCs w:val="32"/>
        </w:rPr>
        <w:t>侨及</w:t>
      </w:r>
      <w:r>
        <w:rPr>
          <w:rFonts w:hint="eastAsia" w:ascii="仿宋_GB2312" w:hAnsi="仿宋_GB2312" w:eastAsia="仿宋_GB2312" w:cs="仿宋_GB2312"/>
          <w:sz w:val="32"/>
          <w:szCs w:val="32"/>
        </w:rPr>
        <w:t>非居民</w:t>
      </w:r>
      <w:r>
        <w:rPr>
          <w:rFonts w:ascii="仿宋_GB2312" w:hAnsi="仿宋_GB2312" w:eastAsia="仿宋_GB2312" w:cs="仿宋_GB2312"/>
          <w:sz w:val="32"/>
          <w:szCs w:val="32"/>
        </w:rPr>
        <w:t>企业到琼海投资</w:t>
      </w:r>
      <w:r>
        <w:rPr>
          <w:rFonts w:hint="eastAsia" w:ascii="仿宋_GB2312" w:hAnsi="仿宋_GB2312" w:eastAsia="仿宋_GB2312" w:cs="仿宋_GB2312"/>
          <w:sz w:val="32"/>
          <w:szCs w:val="32"/>
        </w:rPr>
        <w:t>兴</w:t>
      </w:r>
      <w:r>
        <w:rPr>
          <w:rFonts w:ascii="仿宋_GB2312" w:hAnsi="仿宋_GB2312" w:eastAsia="仿宋_GB2312" w:cs="仿宋_GB2312"/>
          <w:sz w:val="32"/>
          <w:szCs w:val="32"/>
        </w:rPr>
        <w:t>业</w:t>
      </w:r>
      <w:r>
        <w:rPr>
          <w:rFonts w:hint="eastAsia" w:ascii="仿宋_GB2312" w:hAnsi="仿宋_GB2312" w:eastAsia="仿宋_GB2312" w:cs="仿宋_GB2312"/>
          <w:sz w:val="32"/>
          <w:szCs w:val="32"/>
        </w:rPr>
        <w:t>。用好全面开放外资金融机构在持股比例、设立形式、股东资质、业务范围等方面的限制等政策，吸引银行、保险、证券、基金和期货等金融机构落地琼海。打造琼海离岸财富管理示范区，吸引外资金融机构设立财富管理或私人银行机构。同</w:t>
      </w:r>
      <w:r>
        <w:rPr>
          <w:rFonts w:ascii="仿宋_GB2312" w:hAnsi="仿宋_GB2312" w:eastAsia="仿宋_GB2312" w:cs="仿宋_GB2312"/>
          <w:sz w:val="32"/>
          <w:szCs w:val="32"/>
        </w:rPr>
        <w:t>时</w:t>
      </w:r>
      <w:r>
        <w:rPr>
          <w:rFonts w:hint="eastAsia" w:ascii="仿宋_GB2312" w:hAnsi="仿宋_GB2312" w:eastAsia="仿宋_GB2312" w:cs="仿宋_GB2312"/>
          <w:sz w:val="32"/>
          <w:szCs w:val="32"/>
        </w:rPr>
        <w:t>，市内各金融机构要执行资金跨境流动宏观和微观审慎监管体制机制，加强对市场主体行为的监管，确保不发生金融风险。</w:t>
      </w:r>
    </w:p>
    <w:p>
      <w:pPr>
        <w:widowControl w:val="0"/>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实施人员进出自由。</w:t>
      </w:r>
      <w:r>
        <w:rPr>
          <w:rFonts w:hint="eastAsia" w:ascii="仿宋_GB2312" w:hAnsi="仿宋_GB2312" w:eastAsia="仿宋_GB2312" w:cs="仿宋_GB2312"/>
          <w:sz w:val="32"/>
          <w:szCs w:val="32"/>
        </w:rPr>
        <w:t>深入实施“百万人才进海南”行动计划。落实更加开放的免签入境政策，加快落地实施外国人来海南工作许可负面清单管理制度，建立外国人工作居留许可一体化管理模式。聚焦重点发展会议会展、医疗健康、文化旅游、热带特色高效农业等重点产业和民生事业需要，重点引进培养自由贸易港建设需要的经营管理人才、高新技术产业人才以及各类高精尖专业技术人才，力争到2025年吸引各类人才5-8万人。深化人才发展体制机制改革，精心打造海南自贸港区域性人才集聚综合体，建立优秀教育人才团队和基层教育卫生人才激励机制，探索成立琼海市人才发展集团，推进人才工作制度集成创新。坚持人才引进和人才培养“双轮驱动”，组织实施七大人才引进行动和五项人才培养计划，注重培育激发和调动本地人才的积极性和活力。加强创新载体建设和创业支持，积极搭建特色产业高端人才集聚平台、交流合作平台、政产学研合作平台、创新创业平台。落实《海南自由贸易港境外人员执业管理办法》《海南自由贸易港认可境外职业资格目录清单》等文件，用好放宽境外人员参加各类职业资格考试的限制、专业资格认定实行国家和地区的单向认可清单制度等相关政策，吸引境外医生、教师、导游等专业人才。全面提升人才服务保障水平，健全人才服务和保障机制，用良好的“生态”留住企业和人才。</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p>
    <w:p>
      <w:pPr>
        <w:widowControl w:val="0"/>
        <w:spacing w:line="600" w:lineRule="exact"/>
        <w:ind w:firstLine="642" w:firstLineChars="200"/>
        <w:rPr>
          <w:rFonts w:ascii="仿宋_GB2312" w:hAnsi="仿宋_GB2312" w:eastAsia="仿宋_GB2312" w:cs="仿宋_GB2312"/>
          <w:sz w:val="32"/>
          <w:szCs w:val="32"/>
        </w:rPr>
      </w:pPr>
      <w:r>
        <w:rPr>
          <w:rFonts w:hint="eastAsia" w:ascii="Times New Roman" w:hAnsi="Times New Roman" w:eastAsia="仿宋_GB2312" w:cs="仿宋_GB2312"/>
          <w:b/>
          <w:sz w:val="32"/>
          <w:szCs w:val="32"/>
        </w:rPr>
        <w:t>加强运输往来自由便利</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32"/>
        </w:rPr>
        <w:t>利用博鳌机场升级为国际机场和海</w:t>
      </w:r>
      <w:r>
        <w:rPr>
          <w:rFonts w:ascii="仿宋_GB2312" w:hAnsi="仿宋_GB2312" w:eastAsia="仿宋_GB2312" w:cs="仿宋_GB2312"/>
          <w:sz w:val="32"/>
          <w:szCs w:val="32"/>
        </w:rPr>
        <w:t>南对</w:t>
      </w:r>
      <w:r>
        <w:rPr>
          <w:rFonts w:hint="eastAsia" w:ascii="仿宋_GB2312" w:hAnsi="仿宋_GB2312" w:eastAsia="仿宋_GB2312" w:cs="仿宋_GB2312"/>
          <w:sz w:val="32"/>
          <w:szCs w:val="32"/>
        </w:rPr>
        <w:t>琼</w:t>
      </w:r>
      <w:r>
        <w:rPr>
          <w:rFonts w:ascii="仿宋_GB2312" w:hAnsi="仿宋_GB2312" w:eastAsia="仿宋_GB2312" w:cs="仿宋_GB2312"/>
          <w:sz w:val="32"/>
          <w:szCs w:val="32"/>
        </w:rPr>
        <w:t>湛</w:t>
      </w:r>
      <w:r>
        <w:rPr>
          <w:rFonts w:hint="eastAsia" w:ascii="仿宋_GB2312" w:hAnsi="仿宋_GB2312" w:eastAsia="仿宋_GB2312" w:cs="仿宋_GB2312"/>
          <w:sz w:val="32"/>
          <w:szCs w:val="32"/>
        </w:rPr>
        <w:t>、海</w:t>
      </w:r>
      <w:r>
        <w:rPr>
          <w:rFonts w:ascii="仿宋_GB2312" w:hAnsi="仿宋_GB2312" w:eastAsia="仿宋_GB2312" w:cs="仿宋_GB2312"/>
          <w:sz w:val="32"/>
          <w:szCs w:val="32"/>
        </w:rPr>
        <w:t>南与南宁高空空域</w:t>
      </w:r>
      <w:r>
        <w:rPr>
          <w:rFonts w:hint="eastAsia" w:ascii="仿宋_GB2312" w:hAnsi="仿宋_GB2312" w:eastAsia="仿宋_GB2312" w:cs="仿宋_GB2312"/>
          <w:sz w:val="32"/>
          <w:szCs w:val="32"/>
        </w:rPr>
        <w:t>管</w:t>
      </w:r>
      <w:r>
        <w:rPr>
          <w:rFonts w:ascii="仿宋_GB2312" w:hAnsi="仿宋_GB2312" w:eastAsia="仿宋_GB2312" w:cs="仿宋_GB2312"/>
          <w:sz w:val="32"/>
          <w:szCs w:val="32"/>
        </w:rPr>
        <w:t>制一体化的有利条件，</w:t>
      </w:r>
      <w:r>
        <w:rPr>
          <w:rFonts w:hint="eastAsia" w:ascii="仿宋_GB2312" w:hAnsi="仿宋_GB2312" w:eastAsia="仿宋_GB2312" w:cs="仿宋_GB2312"/>
          <w:sz w:val="32"/>
          <w:szCs w:val="32"/>
        </w:rPr>
        <w:t>出台更加精准的航线类鼓励与引导政策。</w:t>
      </w:r>
      <w:r>
        <w:rPr>
          <w:rFonts w:hint="eastAsia" w:ascii="Times New Roman" w:hAnsi="Times New Roman" w:eastAsia="仿宋_GB2312" w:cs="仿宋_GB2312"/>
          <w:sz w:val="32"/>
          <w:szCs w:val="32"/>
        </w:rPr>
        <w:t>用好第七航权开放红利，推动开通东盟十国中心城市航班，</w:t>
      </w:r>
      <w:r>
        <w:rPr>
          <w:rFonts w:hint="eastAsia" w:ascii="仿宋_GB2312" w:hAnsi="仿宋_GB2312" w:eastAsia="仿宋_GB2312" w:cs="仿宋_GB2312"/>
          <w:sz w:val="32"/>
          <w:szCs w:val="32"/>
        </w:rPr>
        <w:t>加密</w:t>
      </w:r>
      <w:r>
        <w:rPr>
          <w:rFonts w:ascii="仿宋_GB2312" w:hAnsi="仿宋_GB2312" w:eastAsia="仿宋_GB2312" w:cs="仿宋_GB2312"/>
          <w:sz w:val="32"/>
          <w:szCs w:val="32"/>
        </w:rPr>
        <w:t>博鳌直飞境外</w:t>
      </w:r>
      <w:r>
        <w:rPr>
          <w:rFonts w:hint="eastAsia" w:ascii="仿宋_GB2312" w:hAnsi="仿宋_GB2312" w:eastAsia="仿宋_GB2312" w:cs="仿宋_GB2312"/>
          <w:sz w:val="32"/>
          <w:szCs w:val="32"/>
        </w:rPr>
        <w:t>航</w:t>
      </w:r>
      <w:r>
        <w:rPr>
          <w:rFonts w:ascii="仿宋_GB2312" w:hAnsi="仿宋_GB2312" w:eastAsia="仿宋_GB2312" w:cs="仿宋_GB2312"/>
          <w:sz w:val="32"/>
          <w:szCs w:val="32"/>
        </w:rPr>
        <w:t>线</w:t>
      </w:r>
      <w:r>
        <w:rPr>
          <w:rFonts w:hint="eastAsia" w:ascii="仿宋_GB2312" w:hAnsi="仿宋_GB2312" w:eastAsia="仿宋_GB2312" w:cs="仿宋_GB2312"/>
          <w:sz w:val="32"/>
          <w:szCs w:val="32"/>
        </w:rPr>
        <w:t>，将博鳌</w:t>
      </w:r>
      <w:r>
        <w:rPr>
          <w:rFonts w:ascii="仿宋_GB2312" w:hAnsi="仿宋_GB2312" w:eastAsia="仿宋_GB2312" w:cs="仿宋_GB2312"/>
          <w:sz w:val="32"/>
          <w:szCs w:val="32"/>
        </w:rPr>
        <w:t>机场打造成海南“四小时八小时飞行经济圈”的战略支点。</w:t>
      </w:r>
      <w:r>
        <w:rPr>
          <w:rFonts w:hint="eastAsia" w:ascii="仿宋_GB2312" w:hAnsi="仿宋_GB2312" w:eastAsia="仿宋_GB2312" w:cs="仿宋_GB2312"/>
          <w:sz w:val="32"/>
          <w:szCs w:val="32"/>
        </w:rPr>
        <w:t>利用航空开放政策，吸引国内外机场管理公司、客货运航空公司、飞机维修公司、飞机租赁公司、通航公司和公务机生产及销售公司落地琼海。</w:t>
      </w:r>
      <w:r>
        <w:rPr>
          <w:rFonts w:ascii="仿宋_GB2312" w:hAnsi="仿宋_GB2312" w:eastAsia="仿宋_GB2312" w:cs="仿宋_GB2312"/>
          <w:sz w:val="32"/>
          <w:szCs w:val="32"/>
        </w:rPr>
        <w:t>利用</w:t>
      </w:r>
      <w:r>
        <w:rPr>
          <w:rFonts w:hint="eastAsia" w:ascii="仿宋_GB2312" w:hAnsi="仿宋_GB2312" w:eastAsia="仿宋_GB2312" w:cs="仿宋_GB2312"/>
          <w:sz w:val="32"/>
          <w:szCs w:val="32"/>
        </w:rPr>
        <w:t>进出岛航班加注保税航油政策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理</w:t>
      </w:r>
      <w:r>
        <w:rPr>
          <w:rFonts w:ascii="仿宋_GB2312" w:hAnsi="仿宋_GB2312" w:eastAsia="仿宋_GB2312" w:cs="仿宋_GB2312"/>
          <w:sz w:val="32"/>
          <w:szCs w:val="32"/>
        </w:rPr>
        <w:t>顺博鳌</w:t>
      </w:r>
      <w:r>
        <w:rPr>
          <w:rFonts w:hint="eastAsia" w:ascii="仿宋_GB2312" w:hAnsi="仿宋_GB2312" w:eastAsia="仿宋_GB2312" w:cs="仿宋_GB2312"/>
          <w:sz w:val="32"/>
          <w:szCs w:val="32"/>
        </w:rPr>
        <w:t>机场</w:t>
      </w:r>
      <w:r>
        <w:rPr>
          <w:rFonts w:ascii="仿宋_GB2312" w:hAnsi="仿宋_GB2312" w:eastAsia="仿宋_GB2312" w:cs="仿宋_GB2312"/>
          <w:sz w:val="32"/>
          <w:szCs w:val="32"/>
        </w:rPr>
        <w:t>管理体制，</w:t>
      </w:r>
      <w:r>
        <w:rPr>
          <w:rFonts w:hint="eastAsia" w:ascii="仿宋_GB2312" w:hAnsi="仿宋_GB2312" w:eastAsia="仿宋_GB2312" w:cs="仿宋_GB2312"/>
          <w:sz w:val="32"/>
          <w:szCs w:val="32"/>
        </w:rPr>
        <w:t>推动</w:t>
      </w:r>
      <w:r>
        <w:rPr>
          <w:rFonts w:ascii="仿宋_GB2312" w:hAnsi="仿宋_GB2312" w:eastAsia="仿宋_GB2312" w:cs="仿宋_GB2312"/>
          <w:sz w:val="32"/>
          <w:szCs w:val="32"/>
        </w:rPr>
        <w:t>机场、航油</w:t>
      </w:r>
      <w:r>
        <w:rPr>
          <w:rFonts w:hint="eastAsia" w:ascii="仿宋_GB2312" w:hAnsi="仿宋_GB2312" w:eastAsia="仿宋_GB2312" w:cs="仿宋_GB2312"/>
          <w:sz w:val="32"/>
          <w:szCs w:val="32"/>
        </w:rPr>
        <w:t>储罐</w:t>
      </w:r>
      <w:r>
        <w:rPr>
          <w:rFonts w:ascii="仿宋_GB2312" w:hAnsi="仿宋_GB2312" w:eastAsia="仿宋_GB2312" w:cs="仿宋_GB2312"/>
          <w:sz w:val="32"/>
          <w:szCs w:val="32"/>
        </w:rPr>
        <w:t>、输油管线、加油设施公</w:t>
      </w:r>
      <w:r>
        <w:rPr>
          <w:rFonts w:hint="eastAsia" w:ascii="仿宋_GB2312" w:hAnsi="仿宋_GB2312" w:eastAsia="仿宋_GB2312" w:cs="仿宋_GB2312"/>
          <w:sz w:val="32"/>
          <w:szCs w:val="32"/>
        </w:rPr>
        <w:t>益</w:t>
      </w:r>
      <w:r>
        <w:rPr>
          <w:rFonts w:ascii="仿宋_GB2312" w:hAnsi="仿宋_GB2312" w:eastAsia="仿宋_GB2312" w:cs="仿宋_GB2312"/>
          <w:sz w:val="32"/>
          <w:szCs w:val="32"/>
        </w:rPr>
        <w:t>化</w:t>
      </w:r>
      <w:r>
        <w:rPr>
          <w:rFonts w:hint="eastAsia" w:ascii="仿宋_GB2312" w:hAnsi="仿宋_GB2312" w:eastAsia="仿宋_GB2312" w:cs="仿宋_GB2312"/>
          <w:sz w:val="32"/>
          <w:szCs w:val="32"/>
        </w:rPr>
        <w:t>。引</w:t>
      </w:r>
      <w:r>
        <w:rPr>
          <w:rFonts w:ascii="仿宋_GB2312" w:hAnsi="仿宋_GB2312" w:eastAsia="仿宋_GB2312" w:cs="仿宋_GB2312"/>
          <w:sz w:val="32"/>
          <w:szCs w:val="32"/>
        </w:rPr>
        <w:t>进多元供油市场主体，吸引进出岛航班博鳌加注保税航油。</w:t>
      </w:r>
      <w:r>
        <w:rPr>
          <w:rFonts w:hint="eastAsia" w:ascii="仿宋_GB2312" w:hAnsi="仿宋_GB2312" w:eastAsia="仿宋_GB2312" w:cs="仿宋_GB2312"/>
          <w:sz w:val="32"/>
          <w:szCs w:val="32"/>
        </w:rPr>
        <w:t>用好旅游</w:t>
      </w:r>
      <w:r>
        <w:rPr>
          <w:rFonts w:ascii="仿宋_GB2312" w:hAnsi="仿宋_GB2312" w:eastAsia="仿宋_GB2312" w:cs="仿宋_GB2312"/>
          <w:sz w:val="32"/>
          <w:szCs w:val="32"/>
        </w:rPr>
        <w:t>淡季</w:t>
      </w:r>
      <w:r>
        <w:rPr>
          <w:rFonts w:hint="eastAsia" w:ascii="仿宋_GB2312" w:hAnsi="仿宋_GB2312" w:eastAsia="仿宋_GB2312" w:cs="仿宋_GB2312"/>
          <w:sz w:val="32"/>
          <w:szCs w:val="32"/>
        </w:rPr>
        <w:t>航线及机位闲置资源</w:t>
      </w:r>
      <w:r>
        <w:rPr>
          <w:rFonts w:ascii="仿宋_GB2312" w:hAnsi="仿宋_GB2312" w:eastAsia="仿宋_GB2312" w:cs="仿宋_GB2312"/>
          <w:sz w:val="32"/>
          <w:szCs w:val="32"/>
        </w:rPr>
        <w:t>，发展博鳌机场货运物流，建成海南东部航空物流运输集散地。</w:t>
      </w:r>
    </w:p>
    <w:p>
      <w:pPr>
        <w:widowControl w:val="0"/>
        <w:spacing w:line="580" w:lineRule="exact"/>
        <w:ind w:firstLine="642" w:firstLineChars="200"/>
        <w:rPr>
          <w:rFonts w:ascii="黑体" w:hAnsi="黑体" w:eastAsia="黑体"/>
        </w:rPr>
      </w:pPr>
      <w:bookmarkStart w:id="149" w:name="_Toc800"/>
      <w:bookmarkStart w:id="150" w:name="_Toc11162"/>
      <w:bookmarkStart w:id="151" w:name="_Toc16983"/>
      <w:bookmarkStart w:id="152" w:name="_Toc6343"/>
      <w:bookmarkStart w:id="153" w:name="_Toc22721"/>
      <w:bookmarkStart w:id="154" w:name="_Toc26303"/>
      <w:bookmarkStart w:id="155" w:name="_Toc21424"/>
      <w:bookmarkStart w:id="156" w:name="_Toc3236"/>
      <w:bookmarkStart w:id="157" w:name="_Toc21092"/>
      <w:r>
        <w:rPr>
          <w:rFonts w:hint="eastAsia" w:ascii="仿宋_GB2312" w:hAnsi="仿宋_GB2312" w:eastAsia="仿宋_GB2312" w:cs="仿宋_GB2312"/>
          <w:b/>
          <w:sz w:val="32"/>
          <w:szCs w:val="32"/>
        </w:rPr>
        <w:t>推动数据安全有序流动。</w:t>
      </w:r>
      <w:r>
        <w:rPr>
          <w:rFonts w:hint="eastAsia" w:ascii="仿宋_GB2312" w:hAnsi="仿宋_GB2312" w:eastAsia="仿宋_GB2312" w:cs="仿宋_GB2312"/>
          <w:sz w:val="32"/>
          <w:szCs w:val="32"/>
        </w:rPr>
        <w:t>在国家数据跨境传输安全制度框架下，争取在琼海试点创新数据资源确权、开放、流通、交易等相关制度，加快培育数据要素市场，推进数据安全有序流动。</w:t>
      </w:r>
      <w:r>
        <w:rPr>
          <w:rFonts w:hint="eastAsia" w:ascii="黑体" w:hAnsi="黑体" w:eastAsia="黑体"/>
        </w:rPr>
        <w:br w:type="page"/>
      </w:r>
    </w:p>
    <w:p>
      <w:pPr>
        <w:pStyle w:val="9"/>
        <w:widowControl w:val="0"/>
        <w:spacing w:line="580" w:lineRule="exact"/>
        <w:rPr>
          <w:rFonts w:ascii="黑体" w:hAnsi="黑体" w:eastAsia="黑体"/>
        </w:rPr>
      </w:pPr>
      <w:r>
        <w:rPr>
          <w:rFonts w:hint="eastAsia" w:ascii="黑体" w:hAnsi="黑体" w:eastAsia="黑体"/>
        </w:rPr>
        <w:t>第四章</w:t>
      </w:r>
      <w:r>
        <w:rPr>
          <w:rFonts w:ascii="黑体" w:hAnsi="黑体" w:eastAsia="黑体"/>
        </w:rPr>
        <w:t xml:space="preserve">  </w:t>
      </w:r>
      <w:bookmarkEnd w:id="149"/>
      <w:bookmarkEnd w:id="150"/>
      <w:bookmarkEnd w:id="151"/>
      <w:bookmarkEnd w:id="152"/>
      <w:bookmarkEnd w:id="153"/>
      <w:bookmarkEnd w:id="154"/>
      <w:r>
        <w:rPr>
          <w:rFonts w:hint="eastAsia" w:ascii="黑体" w:hAnsi="黑体" w:eastAsia="黑体"/>
        </w:rPr>
        <w:t>加快构建现代产业体系</w:t>
      </w:r>
      <w:bookmarkEnd w:id="155"/>
      <w:bookmarkEnd w:id="156"/>
      <w:r>
        <w:rPr>
          <w:rFonts w:ascii="黑体" w:hAnsi="黑体" w:eastAsia="黑体"/>
        </w:rPr>
        <w:tab/>
      </w:r>
      <w:bookmarkEnd w:id="157"/>
    </w:p>
    <w:p>
      <w:pPr>
        <w:widowControl w:val="0"/>
        <w:spacing w:line="580" w:lineRule="exact"/>
        <w:ind w:firstLine="617" w:firstLineChars="193"/>
        <w:rPr>
          <w:rFonts w:ascii="仿宋_GB2312" w:hAnsi="仿宋_GB2312" w:eastAsia="仿宋_GB2312" w:cs="仿宋_GB2312"/>
          <w:sz w:val="32"/>
          <w:szCs w:val="32"/>
        </w:rPr>
      </w:pPr>
      <w:r>
        <w:rPr>
          <w:rFonts w:hint="eastAsia" w:ascii="仿宋_GB2312" w:hAnsi="仿宋_GB2312" w:eastAsia="仿宋_GB2312" w:cs="仿宋_GB2312"/>
          <w:sz w:val="32"/>
          <w:szCs w:val="32"/>
        </w:rPr>
        <w:t>坚持把社会经济发展着力点放在实体经济上，大力发展旅游业、现代服务业和高新技术产业，深化重点领域重点行业对外开放，推动琼海经济体系优化升级，提高经济质量效益和竞争力。</w:t>
      </w:r>
    </w:p>
    <w:p>
      <w:pPr>
        <w:pStyle w:val="9"/>
        <w:widowControl w:val="0"/>
        <w:spacing w:line="600" w:lineRule="exact"/>
        <w:outlineLvl w:val="1"/>
        <w:rPr>
          <w:rFonts w:ascii="楷体" w:hAnsi="楷体" w:eastAsia="楷体" w:cs="楷体"/>
        </w:rPr>
      </w:pPr>
      <w:bookmarkStart w:id="158" w:name="_Toc32519"/>
      <w:bookmarkStart w:id="159" w:name="_Toc24355"/>
      <w:bookmarkStart w:id="160" w:name="_Toc276"/>
      <w:bookmarkStart w:id="161" w:name="_Toc4228"/>
      <w:bookmarkStart w:id="162" w:name="_Toc1493"/>
      <w:bookmarkStart w:id="163" w:name="_Toc28053"/>
      <w:bookmarkStart w:id="164" w:name="_Toc130"/>
      <w:bookmarkStart w:id="165" w:name="_Toc32089"/>
      <w:bookmarkStart w:id="166" w:name="_Toc27987"/>
      <w:r>
        <w:rPr>
          <w:rFonts w:hint="eastAsia" w:ascii="楷体" w:hAnsi="楷体" w:eastAsia="楷体" w:cs="楷体"/>
        </w:rPr>
        <w:t>第一节</w:t>
      </w:r>
      <w:r>
        <w:rPr>
          <w:rFonts w:ascii="楷体" w:hAnsi="楷体" w:eastAsia="楷体" w:cs="楷体"/>
        </w:rPr>
        <w:t xml:space="preserve">  </w:t>
      </w:r>
      <w:bookmarkEnd w:id="158"/>
      <w:bookmarkEnd w:id="159"/>
      <w:bookmarkEnd w:id="160"/>
      <w:bookmarkEnd w:id="161"/>
      <w:bookmarkEnd w:id="162"/>
      <w:bookmarkEnd w:id="163"/>
      <w:bookmarkEnd w:id="164"/>
      <w:bookmarkEnd w:id="165"/>
      <w:bookmarkEnd w:id="166"/>
      <w:r>
        <w:rPr>
          <w:rFonts w:hint="eastAsia" w:ascii="楷体" w:hAnsi="楷体" w:eastAsia="楷体" w:cs="楷体"/>
          <w:bCs/>
        </w:rPr>
        <w:t>做强做优旅游消费产业</w:t>
      </w:r>
    </w:p>
    <w:p>
      <w:pPr>
        <w:widowControl w:val="0"/>
        <w:spacing w:line="600" w:lineRule="exact"/>
        <w:ind w:firstLine="617" w:firstLineChars="193"/>
        <w:rPr>
          <w:rFonts w:ascii="仿宋_GB2312" w:hAnsi="仿宋_GB2312" w:eastAsia="仿宋_GB2312" w:cs="仿宋_GB2312"/>
          <w:sz w:val="32"/>
          <w:szCs w:val="32"/>
        </w:rPr>
      </w:pPr>
      <w:r>
        <w:rPr>
          <w:rFonts w:hint="eastAsia" w:ascii="仿宋_GB2312" w:hAnsi="仿宋_GB2312" w:eastAsia="仿宋_GB2312" w:cs="仿宋_GB2312"/>
          <w:sz w:val="32"/>
          <w:szCs w:val="32"/>
        </w:rPr>
        <w:t>坚持以打造全域旅游示范区</w:t>
      </w:r>
      <w:r>
        <w:rPr>
          <w:rFonts w:ascii="仿宋_GB2312" w:hAnsi="仿宋_GB2312" w:eastAsia="仿宋_GB2312" w:cs="仿宋_GB2312"/>
          <w:sz w:val="32"/>
          <w:szCs w:val="32"/>
        </w:rPr>
        <w:t>为目标，推进“点、线、面”相结合，突出红、绿、蓝“三色”文化及侨乡文化旅游资源，重点发展会展旅游、</w:t>
      </w:r>
      <w:r>
        <w:rPr>
          <w:rFonts w:hint="eastAsia" w:ascii="仿宋_GB2312" w:hAnsi="仿宋_GB2312" w:eastAsia="仿宋_GB2312" w:cs="仿宋_GB2312"/>
          <w:sz w:val="32"/>
          <w:szCs w:val="32"/>
        </w:rPr>
        <w:t>医疗康养</w:t>
      </w:r>
      <w:r>
        <w:rPr>
          <w:rFonts w:ascii="仿宋_GB2312" w:hAnsi="仿宋_GB2312" w:eastAsia="仿宋_GB2312" w:cs="仿宋_GB2312"/>
          <w:sz w:val="32"/>
          <w:szCs w:val="32"/>
        </w:rPr>
        <w:t>旅游、红色旅游、</w:t>
      </w:r>
      <w:r>
        <w:rPr>
          <w:rFonts w:hint="eastAsia" w:ascii="仿宋_GB2312" w:hAnsi="仿宋_GB2312" w:eastAsia="仿宋_GB2312" w:cs="仿宋_GB2312"/>
          <w:sz w:val="32"/>
          <w:szCs w:val="32"/>
        </w:rPr>
        <w:t>美丽乡村</w:t>
      </w:r>
      <w:r>
        <w:rPr>
          <w:rFonts w:ascii="仿宋_GB2312" w:hAnsi="仿宋_GB2312" w:eastAsia="仿宋_GB2312" w:cs="仿宋_GB2312"/>
          <w:sz w:val="32"/>
          <w:szCs w:val="32"/>
        </w:rPr>
        <w:t>旅游、</w:t>
      </w:r>
      <w:r>
        <w:rPr>
          <w:rFonts w:hint="eastAsia" w:ascii="仿宋_GB2312" w:hAnsi="仿宋_GB2312" w:eastAsia="仿宋_GB2312" w:cs="仿宋_GB2312"/>
          <w:sz w:val="32"/>
          <w:szCs w:val="32"/>
        </w:rPr>
        <w:t>滨海度假</w:t>
      </w:r>
      <w:r>
        <w:rPr>
          <w:rFonts w:ascii="仿宋_GB2312" w:hAnsi="仿宋_GB2312" w:eastAsia="仿宋_GB2312" w:cs="仿宋_GB2312"/>
          <w:sz w:val="32"/>
          <w:szCs w:val="32"/>
        </w:rPr>
        <w:t>旅游</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五大旅游品牌</w:t>
      </w:r>
      <w:r>
        <w:rPr>
          <w:rFonts w:hint="eastAsia" w:ascii="仿宋_GB2312" w:hAnsi="仿宋_GB2312" w:eastAsia="仿宋_GB2312" w:cs="仿宋_GB2312"/>
          <w:sz w:val="32"/>
          <w:szCs w:val="32"/>
        </w:rPr>
        <w:t>，积极拓展旅游消费业态，打造具</w:t>
      </w:r>
      <w:r>
        <w:rPr>
          <w:rFonts w:ascii="仿宋_GB2312" w:hAnsi="仿宋_GB2312" w:eastAsia="仿宋_GB2312" w:cs="仿宋_GB2312"/>
          <w:sz w:val="32"/>
          <w:szCs w:val="32"/>
        </w:rPr>
        <w:t>有世界影响力的国际旅游消费</w:t>
      </w:r>
      <w:r>
        <w:rPr>
          <w:rFonts w:hint="eastAsia" w:ascii="仿宋_GB2312" w:hAnsi="仿宋_GB2312" w:eastAsia="仿宋_GB2312" w:cs="仿宋_GB2312"/>
          <w:sz w:val="32"/>
          <w:szCs w:val="32"/>
        </w:rPr>
        <w:t>重要目的地。</w:t>
      </w:r>
    </w:p>
    <w:p>
      <w:pPr>
        <w:widowControl w:val="0"/>
        <w:spacing w:line="600" w:lineRule="exact"/>
        <w:ind w:firstLine="620" w:firstLineChars="193"/>
        <w:rPr>
          <w:rFonts w:ascii="仿宋_GB2312" w:hAnsi="仿宋_GB2312" w:eastAsia="仿宋_GB2312" w:cs="仿宋_GB2312"/>
          <w:sz w:val="32"/>
          <w:szCs w:val="32"/>
        </w:rPr>
      </w:pPr>
      <w:r>
        <w:rPr>
          <w:rFonts w:hint="eastAsia" w:ascii="楷体" w:hAnsi="楷体" w:eastAsia="楷体" w:cs="楷体"/>
          <w:b/>
          <w:bCs/>
          <w:sz w:val="32"/>
          <w:szCs w:val="32"/>
        </w:rPr>
        <w:t>会展旅游。</w:t>
      </w:r>
      <w:r>
        <w:rPr>
          <w:rFonts w:hint="eastAsia" w:ascii="仿宋_GB2312" w:hAnsi="仿宋_GB2312" w:eastAsia="仿宋_GB2312" w:cs="仿宋_GB2312"/>
          <w:sz w:val="32"/>
          <w:szCs w:val="32"/>
        </w:rPr>
        <w:t>以博鳌亚洲论坛为核心，结合医疗康养、乡村旅游等产业，建设若干特色会议会展集聚区，打造会展经济新高地。探索在博鳌乐城国际旅游先行区、博鳌机场临空经济区、嘉积主城区科学规划新建、扩建、改造国际化会展设施和大型会议会展综合体，推动高端酒店、商务中心等配套设施建设，不断强化会议会展综合承载能力。充分发挥会展业产业链前向推动效应、后向拉动效应和旁向溢出效应，吸引国际专业化会展公司发展旅游、物流、酒店、培训等会议会展上中下游产业链。对接国际会展活动通行规则，举办大型国际大型会展和节事活动。不断优化会展活动审批流程，争取会展活动由审批制改为备案制。争取审批权限下放，支持境外组织机构在琼海举办符合国家法律规定的会展。对在博鳌举办的省级及以上的重点会展活动在展期内销售的进口展品实行免税清单管理。</w:t>
      </w:r>
    </w:p>
    <w:p>
      <w:pPr>
        <w:widowControl w:val="0"/>
        <w:spacing w:line="560" w:lineRule="exact"/>
        <w:ind w:firstLine="620" w:firstLineChars="193"/>
        <w:rPr>
          <w:rFonts w:ascii="仿宋_GB2312" w:hAnsi="仿宋_GB2312" w:eastAsia="仿宋_GB2312" w:cs="仿宋_GB2312"/>
          <w:color w:val="FF0000"/>
          <w:sz w:val="32"/>
          <w:szCs w:val="32"/>
        </w:rPr>
      </w:pPr>
      <w:r>
        <w:rPr>
          <w:rFonts w:hint="eastAsia" w:ascii="楷体" w:hAnsi="楷体" w:eastAsia="楷体" w:cs="Times New Roman"/>
          <w:b/>
          <w:color w:val="FF0000"/>
          <w:sz w:val="32"/>
          <w:szCs w:val="32"/>
        </w:rPr>
        <w:t>医疗康养旅游。</w:t>
      </w:r>
      <w:r>
        <w:rPr>
          <w:rFonts w:hint="eastAsia" w:ascii="仿宋_GB2312" w:hAnsi="仿宋_GB2312" w:eastAsia="仿宋_GB2312" w:cs="仿宋_GB2312"/>
          <w:color w:val="FF0000"/>
          <w:sz w:val="32"/>
          <w:szCs w:val="32"/>
        </w:rPr>
        <w:t>依托博鳌乐城国际医疗旅游先行区高端医疗平台、优良的自然生态环境和丰富的温泉资源，围绕“医学治疗”“医学美容”“康复疗养”“养生保健”等四大医疗旅游关键领域，发展以“精准医疗、现代康复、微创美容、健康保健、中医康养”等为特色的医疗旅游服务项目。在先行区周边镇选址建设产城融合示范区，承接先行区产业发展上下游，带动琼海相关产业发展。引进国际知名医疗机构、医学美容机构、养生保健机构、保险机构、中介服务机构，谋划建设一批高水平的健康产业项目，创建国家级健康旅游示范基地。面向东南亚和东盟10</w:t>
      </w:r>
      <w:r>
        <w:rPr>
          <w:rFonts w:ascii="仿宋_GB2312" w:hAnsi="仿宋_GB2312" w:eastAsia="仿宋_GB2312" w:cs="仿宋_GB2312"/>
          <w:color w:val="FF0000"/>
          <w:sz w:val="32"/>
          <w:szCs w:val="32"/>
        </w:rPr>
        <w:t>国客源市场，大力推介以高端医疗和新型中医药健康旅游产品</w:t>
      </w:r>
      <w:r>
        <w:rPr>
          <w:rFonts w:hint="eastAsia" w:ascii="仿宋_GB2312" w:hAnsi="仿宋_GB2312" w:eastAsia="仿宋_GB2312" w:cs="仿宋_GB2312"/>
          <w:color w:val="FF0000"/>
          <w:sz w:val="32"/>
          <w:szCs w:val="32"/>
        </w:rPr>
        <w:t>，不断提升旅游国际化水平。</w:t>
      </w:r>
    </w:p>
    <w:p>
      <w:pPr>
        <w:widowControl w:val="0"/>
        <w:spacing w:line="560" w:lineRule="exact"/>
        <w:ind w:firstLine="648"/>
        <w:rPr>
          <w:rFonts w:ascii="楷体" w:hAnsi="楷体" w:eastAsia="楷体" w:cs="Times New Roman"/>
          <w:b/>
          <w:sz w:val="32"/>
          <w:szCs w:val="32"/>
        </w:rPr>
      </w:pPr>
      <w:r>
        <w:rPr>
          <w:rFonts w:hint="eastAsia" w:ascii="楷体" w:hAnsi="楷体" w:eastAsia="楷体" w:cs="楷体"/>
          <w:b/>
          <w:bCs/>
          <w:sz w:val="32"/>
          <w:szCs w:val="32"/>
        </w:rPr>
        <w:t>红色旅游。</w:t>
      </w:r>
      <w:r>
        <w:rPr>
          <w:rFonts w:hint="eastAsia" w:ascii="仿宋_GB2312" w:hAnsi="仿宋_GB2312" w:eastAsia="仿宋_GB2312" w:cs="仿宋_GB2312"/>
          <w:sz w:val="32"/>
          <w:szCs w:val="32"/>
        </w:rPr>
        <w:t>深入挖掘琼海红色革命文化内涵，整合红色旅游资源，围绕红色娘子军纪念园、椰子寨琼崖革命第一枪战斗遗址、阳江琼崖“小莫斯科”（琼崖特委第一次扩大会议旧址）等红色文化品牌，打造琼崖红色教育基地，与定安母瑞山、万宁六连岭等红色教育基地联动发展。推动红色娘子军纪念园改造升级，传承弘扬好红色文化。规划建设红色旅游精品路线，</w:t>
      </w:r>
      <w:r>
        <w:rPr>
          <w:rFonts w:ascii="仿宋_GB2312" w:hAnsi="仿宋_GB2312" w:eastAsia="仿宋_GB2312" w:cs="仿宋_GB2312"/>
          <w:sz w:val="32"/>
          <w:szCs w:val="32"/>
        </w:rPr>
        <w:t>推动红色旅</w:t>
      </w:r>
      <w:r>
        <w:rPr>
          <w:rFonts w:hint="eastAsia" w:ascii="仿宋_GB2312" w:hAnsi="仿宋_GB2312" w:eastAsia="仿宋_GB2312" w:cs="仿宋_GB2312"/>
          <w:sz w:val="32"/>
          <w:szCs w:val="32"/>
        </w:rPr>
        <w:t>游与观光旅游、乡村旅游、休闲度假旅游等文化需求相结合，形成“红色旅游</w:t>
      </w:r>
      <w:r>
        <w:rPr>
          <w:rFonts w:ascii="仿宋_GB2312" w:hAnsi="仿宋_GB2312" w:eastAsia="仿宋_GB2312" w:cs="仿宋_GB2312"/>
          <w:sz w:val="32"/>
          <w:szCs w:val="32"/>
        </w:rPr>
        <w:t>+”复合型旅游产品。</w:t>
      </w:r>
      <w:r>
        <w:rPr>
          <w:rFonts w:hint="eastAsia" w:ascii="仿宋_GB2312" w:hAnsi="仿宋_GB2312" w:eastAsia="仿宋_GB2312" w:cs="仿宋_GB2312"/>
          <w:sz w:val="32"/>
          <w:szCs w:val="32"/>
        </w:rPr>
        <w:t>完善红色文化产品文创产业链，</w:t>
      </w:r>
      <w:r>
        <w:rPr>
          <w:rFonts w:ascii="仿宋_GB2312" w:hAnsi="仿宋_GB2312" w:eastAsia="仿宋_GB2312" w:cs="仿宋_GB2312"/>
          <w:sz w:val="32"/>
          <w:szCs w:val="32"/>
        </w:rPr>
        <w:t>依托</w:t>
      </w:r>
      <w:r>
        <w:rPr>
          <w:rFonts w:hint="eastAsia" w:ascii="仿宋_GB2312" w:hAnsi="仿宋_GB2312" w:eastAsia="仿宋_GB2312" w:cs="仿宋_GB2312"/>
          <w:sz w:val="32"/>
          <w:szCs w:val="32"/>
        </w:rPr>
        <w:t>海南软件职业技术学院动漫专业、嘉积中学名师工作室等智力资源，开展红色歌舞剧、动漫影视等文艺作品创作，推进红色文化与景区景点的深度融合发展，吸引更多年轻的红色旅游消费群体，以旅游消费方式展示琼海文化。</w:t>
      </w:r>
    </w:p>
    <w:p>
      <w:pPr>
        <w:widowControl w:val="0"/>
        <w:spacing w:line="560" w:lineRule="exact"/>
        <w:ind w:firstLine="648"/>
        <w:rPr>
          <w:rFonts w:ascii="仿宋_GB2312" w:hAnsi="仿宋_GB2312" w:eastAsia="仿宋_GB2312" w:cs="仿宋_GB2312"/>
          <w:sz w:val="32"/>
          <w:szCs w:val="32"/>
        </w:rPr>
      </w:pPr>
      <w:r>
        <w:rPr>
          <w:rFonts w:hint="eastAsia" w:ascii="楷体" w:hAnsi="楷体" w:eastAsia="楷体" w:cs="楷体"/>
          <w:b/>
          <w:bCs/>
          <w:sz w:val="32"/>
          <w:szCs w:val="32"/>
        </w:rPr>
        <w:t>美丽乡村旅游。</w:t>
      </w:r>
      <w:r>
        <w:rPr>
          <w:rFonts w:hint="eastAsia" w:ascii="仿宋_GB2312" w:hAnsi="仿宋_GB2312" w:eastAsia="仿宋_GB2312" w:cs="仿宋_GB2312"/>
          <w:sz w:val="32"/>
          <w:szCs w:val="32"/>
        </w:rPr>
        <w:t>扩大博鳌精品美丽乡村集群效应，因地制宜推广打造展现中国风貌、琼海特色、面向世界的“美丽乡村会客厅”，优化提升美丽乡村旅游品质，服务保障好博鳌亚洲论坛年会。实施美丽乡村旅游提升工程，建好管好联结城乡的交通通道、生态廊道，提升乡村旅游基础设施和公共服务设施水平。鼓励和引导社会资本参与美丽乡村建设，促进历史遗迹、风土人情、风俗习惯等人文元素与乡村旅游融合发展，打造“一村一品”、“看景知村”和“人无我有，人有我特”的景观景点，高水平建设一批美丽乡村集群。鼓励盘活乡村闲置土地和房屋，促进乡村土地交易流转，利用传统村落以及历史文化名村闲置的传统民居打造一批度假型、康养型精品民宿和宿营地，培育乡村旅游创客示范基地。</w:t>
      </w:r>
    </w:p>
    <w:p>
      <w:pPr>
        <w:widowControl w:val="0"/>
        <w:spacing w:line="600" w:lineRule="exact"/>
        <w:ind w:firstLine="648"/>
        <w:rPr>
          <w:rFonts w:ascii="仿宋_GB2312" w:hAnsi="仿宋_GB2312" w:eastAsia="仿宋_GB2312" w:cs="仿宋_GB2312"/>
          <w:sz w:val="32"/>
          <w:szCs w:val="32"/>
        </w:rPr>
      </w:pPr>
      <w:r>
        <w:rPr>
          <w:rFonts w:hint="eastAsia" w:ascii="楷体" w:hAnsi="楷体" w:eastAsia="楷体" w:cs="Times New Roman"/>
          <w:b/>
          <w:sz w:val="32"/>
          <w:szCs w:val="32"/>
        </w:rPr>
        <w:t>滨海度假旅游。</w:t>
      </w:r>
      <w:r>
        <w:rPr>
          <w:rFonts w:hint="eastAsia" w:ascii="仿宋_GB2312" w:hAnsi="仿宋_GB2312" w:eastAsia="仿宋_GB2312" w:cs="仿宋_GB2312"/>
          <w:sz w:val="32"/>
          <w:szCs w:val="32"/>
        </w:rPr>
        <w:t>适应旅游消费升级和琼海渔业生产转产趋势，发展休闲渔业、滨海休闲度假、观光娱乐、海上运动等特色海洋旅游业。以博鳌为重点，改造提升滨海景观环境，建设国际一流的滨海休闲度假养生基地；高水平规划建设公共游艇码头或水上运动中心，吸引游艇制造企业、销售企业和游艇俱乐部落户琼海；开发以博鳌为中心，串联环海南岛陆上和离岛景点的海上旅游线路。以潭门国家中心渔港为中心，发展集潜捕、海钓等多功能为一体的特色休闲渔业；建设潭门休闲海洋牧场，划定休闲垂钓区域，打造休闲渔业船舶公共码头与海钓赛事基地，发展近中海垂钓，定期举办系列海钓大赛。以长坡椰林湾为基地，引导水产养殖转型升级，发展科普教育、生态观光、渔事体验、海鲜餐饮等旅游业态。</w:t>
      </w:r>
    </w:p>
    <w:p>
      <w:pPr>
        <w:pStyle w:val="3"/>
        <w:widowControl w:val="0"/>
        <w:spacing w:line="600" w:lineRule="exact"/>
        <w:ind w:firstLine="642" w:firstLineChars="200"/>
        <w:rPr>
          <w:sz w:val="32"/>
          <w:szCs w:val="32"/>
        </w:rPr>
      </w:pPr>
      <w:r>
        <w:rPr>
          <w:rFonts w:hint="eastAsia" w:ascii="楷体" w:hAnsi="楷体" w:eastAsia="楷体" w:cs="Times New Roman"/>
          <w:b/>
          <w:sz w:val="32"/>
          <w:szCs w:val="32"/>
        </w:rPr>
        <w:t>全面提升旅游消费水平。</w:t>
      </w:r>
      <w:r>
        <w:rPr>
          <w:rFonts w:hint="eastAsia" w:ascii="Times New Roman" w:hAnsi="Times New Roman" w:eastAsia="仿宋_GB2312" w:cs="仿宋_GB2312"/>
          <w:sz w:val="32"/>
          <w:szCs w:val="32"/>
        </w:rPr>
        <w:t>开发特色旅游商品，丰富旅游休闲购物业态，大力拓展新消费模式。优化商贸布局，深化旅游商圈融合发展，提升传统商贸业态，营造既有国际国内品牌集聚，又有浓郁地方特色的高品质购物体验环境。发展免税购物，合理增设免税店，丰富免税商品种类，引进知名品牌首店、旗舰店和体验店等业态，努力实现高端旅游和商贸消费新突破，吸引我国居民海外消费回流、就医回流和求学回流，打造国内替代出境旅游购物重要目的地。</w:t>
      </w:r>
      <w:r>
        <w:rPr>
          <w:rFonts w:hint="eastAsia" w:ascii="仿宋_GB2312" w:hAnsi="仿宋_GB2312" w:eastAsia="仿宋_GB2312" w:cs="仿宋_GB2312"/>
          <w:sz w:val="32"/>
          <w:szCs w:val="32"/>
        </w:rPr>
        <w:t>发展夜间文旅经济，丰富和提升夜间旅游产品、购物、演艺等服务水平，大力吸引过夜游客。</w:t>
      </w:r>
      <w:r>
        <w:rPr>
          <w:rFonts w:hint="eastAsia" w:ascii="Times New Roman" w:hAnsi="Times New Roman" w:eastAsia="仿宋_GB2312" w:cs="仿宋_GB2312"/>
          <w:sz w:val="32"/>
          <w:szCs w:val="32"/>
        </w:rPr>
        <w:t>全面推进公共场所外语标识标牌规范化、标准化建设，打造高水平旅游服务支撑体系。营造优质的旅游消费保障环境，完善齐抓共管、协调互动的旅游服务管理机制。</w:t>
      </w:r>
    </w:p>
    <w:tbl>
      <w:tblPr>
        <w:tblStyle w:val="1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288" w:type="dxa"/>
          </w:tcPr>
          <w:p>
            <w:pPr>
              <w:widowControl w:val="0"/>
              <w:spacing w:line="460" w:lineRule="exact"/>
              <w:jc w:val="center"/>
              <w:rPr>
                <w:rFonts w:ascii="Times New Roman" w:hAnsi="Times New Roman" w:eastAsia="黑体"/>
                <w:b/>
                <w:sz w:val="28"/>
                <w:szCs w:val="28"/>
              </w:rPr>
            </w:pPr>
            <w:r>
              <w:rPr>
                <w:rFonts w:hint="eastAsia" w:ascii="黑体" w:hAnsi="黑体" w:eastAsia="黑体"/>
                <w:b/>
                <w:sz w:val="28"/>
                <w:szCs w:val="28"/>
              </w:rPr>
              <w:t>专栏</w:t>
            </w:r>
            <w:r>
              <w:rPr>
                <w:rFonts w:ascii="黑体" w:hAnsi="黑体" w:eastAsia="黑体"/>
                <w:b/>
                <w:sz w:val="28"/>
                <w:szCs w:val="28"/>
              </w:rPr>
              <w:t>2</w:t>
            </w:r>
            <w:r>
              <w:rPr>
                <w:rFonts w:hint="eastAsia" w:ascii="黑体" w:hAnsi="黑体" w:eastAsia="黑体"/>
                <w:b/>
                <w:sz w:val="28"/>
                <w:szCs w:val="28"/>
              </w:rPr>
              <w:t>：“十四五”时期琼海旅游业重点工程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8" w:type="dxa"/>
          </w:tcPr>
          <w:p>
            <w:pPr>
              <w:widowControl w:val="0"/>
              <w:spacing w:line="520" w:lineRule="exact"/>
              <w:ind w:firstLine="548" w:firstLineChars="195"/>
              <w:rPr>
                <w:rFonts w:ascii="楷体_GB2312" w:hAnsi="Times New Roman" w:eastAsia="楷体_GB2312"/>
                <w:b/>
                <w:sz w:val="28"/>
                <w:szCs w:val="28"/>
              </w:rPr>
            </w:pPr>
            <w:r>
              <w:rPr>
                <w:rFonts w:ascii="楷体_GB2312" w:hAnsi="Times New Roman" w:eastAsia="楷体_GB2312"/>
                <w:b/>
                <w:sz w:val="28"/>
                <w:szCs w:val="28"/>
              </w:rPr>
              <w:t>01.</w:t>
            </w:r>
            <w:r>
              <w:rPr>
                <w:rFonts w:hint="eastAsia" w:ascii="楷体_GB2312" w:hAnsi="Times New Roman" w:eastAsia="楷体_GB2312"/>
                <w:b/>
                <w:sz w:val="28"/>
                <w:szCs w:val="28"/>
                <w:shd w:val="clear" w:color="000000" w:fill="auto"/>
              </w:rPr>
              <w:t>海南万泉花果文化旅游区</w:t>
            </w:r>
          </w:p>
          <w:p>
            <w:pPr>
              <w:widowControl w:val="0"/>
              <w:spacing w:line="520" w:lineRule="exact"/>
              <w:ind w:firstLine="546" w:firstLineChars="195"/>
              <w:rPr>
                <w:rFonts w:ascii="仿宋_GB2312" w:hAnsi="仿宋_GB2312" w:eastAsia="仿宋_GB2312" w:cs="仿宋_GB2312"/>
                <w:sz w:val="28"/>
                <w:szCs w:val="28"/>
              </w:rPr>
            </w:pPr>
            <w:r>
              <w:rPr>
                <w:rFonts w:hint="eastAsia" w:ascii="仿宋_GB2312" w:hAnsi="仿宋_GB2312" w:eastAsia="仿宋_GB2312" w:cs="仿宋_GB2312"/>
                <w:sz w:val="28"/>
                <w:szCs w:val="28"/>
              </w:rPr>
              <w:t>建设海南热带高效农业示范区、花果园等自然景观旅游观光区。</w:t>
            </w:r>
          </w:p>
          <w:p>
            <w:pPr>
              <w:widowControl w:val="0"/>
              <w:spacing w:line="520" w:lineRule="exact"/>
              <w:ind w:firstLine="548" w:firstLineChars="195"/>
              <w:rPr>
                <w:rFonts w:ascii="楷体_GB2312" w:hAnsi="Times New Roman" w:eastAsia="楷体_GB2312"/>
                <w:b/>
                <w:sz w:val="28"/>
                <w:szCs w:val="28"/>
              </w:rPr>
            </w:pPr>
            <w:r>
              <w:rPr>
                <w:rFonts w:hint="eastAsia" w:ascii="楷体_GB2312" w:hAnsi="Times New Roman" w:eastAsia="楷体_GB2312"/>
                <w:b/>
                <w:sz w:val="28"/>
                <w:szCs w:val="28"/>
              </w:rPr>
              <w:t>02.琼海温泉康养中心</w:t>
            </w:r>
          </w:p>
          <w:p>
            <w:pPr>
              <w:widowControl w:val="0"/>
              <w:spacing w:line="520" w:lineRule="exact"/>
              <w:ind w:firstLine="546" w:firstLineChars="195"/>
              <w:rPr>
                <w:rFonts w:ascii="仿宋_GB2312" w:hAnsi="仿宋_GB2312" w:eastAsia="仿宋_GB2312" w:cs="仿宋_GB2312"/>
                <w:sz w:val="28"/>
                <w:szCs w:val="28"/>
              </w:rPr>
            </w:pPr>
            <w:r>
              <w:rPr>
                <w:rFonts w:hint="eastAsia" w:ascii="仿宋_GB2312" w:hAnsi="仿宋_GB2312" w:eastAsia="仿宋_GB2312" w:cs="仿宋_GB2312"/>
                <w:sz w:val="28"/>
                <w:szCs w:val="28"/>
              </w:rPr>
              <w:t>建设温泉康养中心、零售商业商铺、康养公寓等。</w:t>
            </w:r>
          </w:p>
          <w:p>
            <w:pPr>
              <w:widowControl w:val="0"/>
              <w:spacing w:line="520" w:lineRule="exact"/>
              <w:ind w:firstLine="548" w:firstLineChars="195"/>
              <w:rPr>
                <w:rFonts w:ascii="楷体_GB2312" w:hAnsi="Times New Roman" w:eastAsia="楷体_GB2312"/>
                <w:b/>
                <w:sz w:val="28"/>
                <w:szCs w:val="28"/>
              </w:rPr>
            </w:pPr>
            <w:r>
              <w:rPr>
                <w:rFonts w:hint="eastAsia" w:ascii="楷体_GB2312" w:hAnsi="Times New Roman" w:eastAsia="楷体_GB2312"/>
                <w:b/>
                <w:sz w:val="28"/>
                <w:szCs w:val="28"/>
              </w:rPr>
              <w:t>03.琼海官塘民俗风情街</w:t>
            </w:r>
          </w:p>
          <w:p>
            <w:pPr>
              <w:widowControl w:val="0"/>
              <w:spacing w:line="520" w:lineRule="exact"/>
              <w:ind w:firstLine="546" w:firstLineChars="195"/>
              <w:rPr>
                <w:rFonts w:ascii="仿宋_GB2312" w:hAnsi="仿宋_GB2312" w:eastAsia="仿宋_GB2312" w:cs="仿宋_GB2312"/>
                <w:sz w:val="28"/>
                <w:szCs w:val="28"/>
              </w:rPr>
            </w:pPr>
            <w:r>
              <w:rPr>
                <w:rFonts w:hint="eastAsia" w:ascii="仿宋_GB2312" w:hAnsi="仿宋_GB2312" w:eastAsia="仿宋_GB2312" w:cs="仿宋_GB2312"/>
                <w:sz w:val="28"/>
                <w:szCs w:val="28"/>
              </w:rPr>
              <w:t>建设民俗风情街，包括官塘温泉客栈、商业用房、地下建筑等。</w:t>
            </w:r>
          </w:p>
          <w:p>
            <w:pPr>
              <w:widowControl w:val="0"/>
              <w:spacing w:line="520" w:lineRule="exact"/>
              <w:ind w:firstLine="548" w:firstLineChars="195"/>
              <w:rPr>
                <w:rFonts w:ascii="楷体_GB2312" w:hAnsi="Times New Roman" w:eastAsia="楷体_GB2312"/>
                <w:b/>
                <w:sz w:val="28"/>
                <w:szCs w:val="28"/>
              </w:rPr>
            </w:pPr>
            <w:r>
              <w:rPr>
                <w:rFonts w:ascii="楷体_GB2312" w:hAnsi="Times New Roman" w:eastAsia="楷体_GB2312"/>
                <w:b/>
                <w:sz w:val="28"/>
                <w:szCs w:val="28"/>
              </w:rPr>
              <w:t>04.</w:t>
            </w:r>
            <w:r>
              <w:rPr>
                <w:rFonts w:hint="eastAsia" w:ascii="楷体_GB2312" w:hAnsi="Times New Roman" w:eastAsia="楷体_GB2312"/>
                <w:b/>
                <w:sz w:val="28"/>
                <w:szCs w:val="28"/>
              </w:rPr>
              <w:t>海南白石岭绿世界旅游区</w:t>
            </w:r>
          </w:p>
          <w:p>
            <w:pPr>
              <w:widowControl w:val="0"/>
              <w:spacing w:line="520" w:lineRule="exact"/>
              <w:ind w:firstLine="546" w:firstLineChars="195"/>
              <w:rPr>
                <w:rFonts w:ascii="仿宋_GB2312" w:hAnsi="仿宋_GB2312" w:eastAsia="仿宋_GB2312" w:cs="仿宋_GB2312"/>
                <w:b/>
                <w:sz w:val="28"/>
                <w:szCs w:val="28"/>
              </w:rPr>
            </w:pPr>
            <w:r>
              <w:rPr>
                <w:rFonts w:hint="eastAsia" w:ascii="仿宋_GB2312" w:hAnsi="仿宋_GB2312" w:eastAsia="仿宋_GB2312" w:cs="仿宋_GB2312"/>
                <w:sz w:val="28"/>
                <w:szCs w:val="28"/>
              </w:rPr>
              <w:t>建设集山林勇士、绿野仙踪、滨湖康养、乡村田园等功能于一体的国家5A级旅游景区。</w:t>
            </w:r>
          </w:p>
          <w:p>
            <w:pPr>
              <w:widowControl w:val="0"/>
              <w:spacing w:line="520" w:lineRule="exact"/>
              <w:ind w:firstLine="548" w:firstLineChars="195"/>
              <w:rPr>
                <w:rFonts w:ascii="楷体_GB2312" w:hAnsi="Times New Roman" w:eastAsia="楷体_GB2312"/>
                <w:b/>
                <w:sz w:val="28"/>
                <w:szCs w:val="28"/>
              </w:rPr>
            </w:pPr>
            <w:r>
              <w:rPr>
                <w:rFonts w:hint="eastAsia" w:ascii="楷体_GB2312" w:hAnsi="Times New Roman" w:eastAsia="楷体_GB2312"/>
                <w:b/>
                <w:sz w:val="28"/>
                <w:szCs w:val="28"/>
              </w:rPr>
              <w:t>05.龙寿洋农业公园提升工程</w:t>
            </w:r>
          </w:p>
          <w:p>
            <w:pPr>
              <w:widowControl w:val="0"/>
              <w:spacing w:line="520" w:lineRule="exact"/>
              <w:ind w:firstLine="560" w:firstLineChars="200"/>
            </w:pPr>
            <w:r>
              <w:rPr>
                <w:rFonts w:hint="eastAsia" w:ascii="仿宋_GB2312" w:hAnsi="仿宋_GB2312" w:eastAsia="仿宋_GB2312" w:cs="仿宋_GB2312"/>
                <w:sz w:val="28"/>
                <w:szCs w:val="28"/>
              </w:rPr>
              <w:t>对龙寿洋美丽乡村整体提质升级，打造文化旅游示范品牌。</w:t>
            </w:r>
          </w:p>
          <w:p>
            <w:pPr>
              <w:pStyle w:val="15"/>
              <w:widowControl w:val="0"/>
              <w:spacing w:line="520" w:lineRule="exact"/>
              <w:rPr>
                <w:rFonts w:ascii="楷体_GB2312" w:hAnsi="Times New Roman" w:eastAsia="楷体_GB2312" w:cs="黑体"/>
                <w:b/>
                <w:bCs/>
                <w:color w:val="auto"/>
                <w:kern w:val="44"/>
                <w:sz w:val="28"/>
                <w:szCs w:val="28"/>
              </w:rPr>
            </w:pPr>
            <w:r>
              <w:rPr>
                <w:color w:val="auto"/>
              </w:rPr>
              <w:t xml:space="preserve">    </w:t>
            </w:r>
            <w:r>
              <w:rPr>
                <w:rFonts w:ascii="楷体_GB2312" w:hAnsi="Times New Roman" w:eastAsia="楷体_GB2312" w:cs="黑体"/>
                <w:b/>
                <w:color w:val="auto"/>
                <w:sz w:val="28"/>
                <w:szCs w:val="28"/>
              </w:rPr>
              <w:t xml:space="preserve"> 06.</w:t>
            </w:r>
            <w:r>
              <w:rPr>
                <w:rFonts w:hint="eastAsia" w:ascii="楷体_GB2312" w:hAnsi="Times New Roman" w:eastAsia="楷体_GB2312" w:cs="黑体"/>
                <w:b/>
                <w:color w:val="auto"/>
                <w:sz w:val="28"/>
                <w:szCs w:val="28"/>
              </w:rPr>
              <w:t>奥园博鳌南海传奇旅游项目</w:t>
            </w:r>
          </w:p>
          <w:p>
            <w:pPr>
              <w:pStyle w:val="15"/>
              <w:widowControl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建设集水上主题乐园、实景演艺、国际品牌酒店、特色风情美食街及免税店购物为一体的大型文化主题公园。</w:t>
            </w:r>
          </w:p>
          <w:p>
            <w:pPr>
              <w:widowControl w:val="0"/>
              <w:spacing w:line="520" w:lineRule="exact"/>
              <w:ind w:firstLine="562" w:firstLineChars="200"/>
              <w:rPr>
                <w:rFonts w:ascii="楷体_GB2312" w:hAnsi="Times New Roman" w:eastAsia="楷体_GB2312"/>
                <w:b/>
                <w:color w:val="FF0000"/>
                <w:sz w:val="28"/>
                <w:szCs w:val="28"/>
              </w:rPr>
            </w:pPr>
            <w:r>
              <w:rPr>
                <w:rFonts w:hint="eastAsia" w:ascii="楷体_GB2312" w:hAnsi="Times New Roman" w:eastAsia="楷体_GB2312"/>
                <w:b/>
                <w:color w:val="FF0000"/>
                <w:sz w:val="28"/>
                <w:szCs w:val="28"/>
              </w:rPr>
              <w:t>07.博鳌留客村（蔡家宅）文化旅游区(二期)</w:t>
            </w:r>
          </w:p>
          <w:p>
            <w:pPr>
              <w:widowControl w:val="0"/>
              <w:spacing w:line="52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对留客村进行升级改造，包括完善蔡家宅基础设施、修缮卢家宅、环境整治、新建滨河景观文化长廊、开通两条水上游线、改造琼侨文化展览馆、恢复关帝庙农商广场等。</w:t>
            </w:r>
          </w:p>
          <w:p>
            <w:pPr>
              <w:widowControl w:val="0"/>
              <w:spacing w:line="520" w:lineRule="exact"/>
              <w:ind w:firstLine="562" w:firstLineChars="200"/>
              <w:rPr>
                <w:rFonts w:ascii="楷体_GB2312" w:hAnsi="Times New Roman" w:eastAsia="楷体_GB2312"/>
                <w:b/>
                <w:sz w:val="28"/>
                <w:szCs w:val="28"/>
              </w:rPr>
            </w:pPr>
            <w:r>
              <w:rPr>
                <w:rFonts w:ascii="楷体_GB2312" w:hAnsi="Times New Roman" w:eastAsia="楷体_GB2312"/>
                <w:b/>
                <w:sz w:val="28"/>
                <w:szCs w:val="28"/>
              </w:rPr>
              <w:t>08.</w:t>
            </w:r>
            <w:r>
              <w:rPr>
                <w:rFonts w:hint="eastAsia" w:ascii="楷体_GB2312" w:hAnsi="Times New Roman" w:eastAsia="楷体_GB2312"/>
                <w:b/>
                <w:sz w:val="28"/>
                <w:szCs w:val="28"/>
              </w:rPr>
              <w:t>琼海沙美乡村宿集项目</w:t>
            </w:r>
          </w:p>
          <w:p>
            <w:pPr>
              <w:pStyle w:val="3"/>
              <w:widowControl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引入西坡、南岸、大乐之野等国内高端知名民宿品牌，建设集农业观光、科普教育、文化旅游、乡村会晤、消费购物等多功能于一体的海南品牌乡村民宿产业第一村，包括高端民宿客房、乡村美学会晤交流区、国际知名品牌咖啡红酒吧等。</w:t>
            </w:r>
          </w:p>
          <w:p>
            <w:pPr>
              <w:widowControl w:val="0"/>
              <w:spacing w:line="520" w:lineRule="exact"/>
              <w:ind w:firstLine="562" w:firstLineChars="200"/>
              <w:rPr>
                <w:rFonts w:ascii="楷体_GB2312" w:hAnsi="Times New Roman" w:eastAsia="楷体_GB2312"/>
                <w:b/>
                <w:sz w:val="28"/>
                <w:szCs w:val="28"/>
              </w:rPr>
            </w:pPr>
            <w:r>
              <w:rPr>
                <w:rFonts w:hint="eastAsia" w:ascii="楷体_GB2312" w:hAnsi="Times New Roman" w:eastAsia="楷体_GB2312"/>
                <w:b/>
                <w:sz w:val="28"/>
                <w:szCs w:val="28"/>
              </w:rPr>
              <w:t>09.东部沿海休闲观光带</w:t>
            </w:r>
          </w:p>
          <w:p>
            <w:pPr>
              <w:widowControl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新建一条连接博鳌、潭门、长坡三镇，全长40公里的海岸马拉松跑道，首创全国一体化滨海文体观光跑道。</w:t>
            </w:r>
          </w:p>
          <w:p>
            <w:pPr>
              <w:pStyle w:val="10"/>
              <w:widowControl w:val="0"/>
              <w:spacing w:after="0" w:line="520" w:lineRule="exact"/>
              <w:ind w:left="0" w:leftChars="0" w:firstLine="0"/>
              <w:rPr>
                <w:rFonts w:ascii="仿宋" w:hAnsi="仿宋" w:eastAsia="仿宋" w:cs="仿宋"/>
                <w:sz w:val="28"/>
                <w:szCs w:val="28"/>
              </w:rPr>
            </w:pPr>
            <w:r>
              <w:rPr>
                <w:rFonts w:hint="eastAsia" w:ascii="仿宋" w:hAnsi="仿宋" w:eastAsia="仿宋" w:cs="仿宋"/>
                <w:sz w:val="28"/>
                <w:szCs w:val="28"/>
              </w:rPr>
              <w:t xml:space="preserve">   </w:t>
            </w:r>
            <w:r>
              <w:rPr>
                <w:rFonts w:hint="eastAsia" w:ascii="楷体_GB2312" w:hAnsi="Times New Roman" w:eastAsia="楷体_GB2312"/>
                <w:b/>
                <w:sz w:val="28"/>
                <w:szCs w:val="28"/>
              </w:rPr>
              <w:t xml:space="preserve"> 10.红色娘子军纪念园扩建工程</w:t>
            </w:r>
          </w:p>
          <w:p>
            <w:pPr>
              <w:pStyle w:val="10"/>
              <w:widowControl w:val="0"/>
              <w:spacing w:after="0" w:line="520" w:lineRule="exact"/>
              <w:ind w:left="0" w:leftChars="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对红色娘子军纪念园升级改造，打造集红色文化演出、特色军旅体验、红色文化培训、特色餐饮等为一体的多功能、综合型、高品质红色文化旅游区。</w:t>
            </w:r>
          </w:p>
          <w:p>
            <w:pPr>
              <w:pStyle w:val="10"/>
              <w:widowControl w:val="0"/>
              <w:spacing w:after="0" w:line="520" w:lineRule="exact"/>
              <w:ind w:left="0" w:leftChars="0" w:firstLine="562" w:firstLineChars="200"/>
              <w:rPr>
                <w:rFonts w:ascii="楷体_GB2312" w:hAnsi="Times New Roman" w:eastAsia="楷体_GB2312"/>
                <w:b/>
                <w:sz w:val="28"/>
                <w:szCs w:val="28"/>
              </w:rPr>
            </w:pPr>
            <w:r>
              <w:rPr>
                <w:rFonts w:hint="eastAsia" w:ascii="楷体_GB2312" w:hAnsi="Times New Roman" w:eastAsia="楷体_GB2312"/>
                <w:b/>
                <w:sz w:val="28"/>
                <w:szCs w:val="28"/>
              </w:rPr>
              <w:t>11.琼海国际医疗旅游副中心</w:t>
            </w:r>
          </w:p>
          <w:p>
            <w:pPr>
              <w:pStyle w:val="10"/>
              <w:widowControl w:val="0"/>
              <w:spacing w:after="0" w:line="520" w:lineRule="exact"/>
              <w:ind w:left="0" w:leftChars="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在博鳌乐城国际医疗旅游先行区周边镇选址建设承接先行区发展溢出效应的产城融合区，以大健康产业为核心，建设国际医疗康养、会议会展、旅游观光、智慧信息为一体的琼海国际医疗旅游副中心，作为琼海衔接先行区上下游产业的桥头堡，形成“以城促产、以产兴城、产城一体”的融合发展新格局</w:t>
            </w:r>
          </w:p>
          <w:p>
            <w:pPr>
              <w:pStyle w:val="10"/>
              <w:widowControl w:val="0"/>
              <w:spacing w:after="0" w:line="520" w:lineRule="exact"/>
              <w:ind w:left="0" w:leftChars="0" w:firstLine="562" w:firstLineChars="200"/>
              <w:rPr>
                <w:rFonts w:ascii="楷体_GB2312" w:hAnsi="Times New Roman" w:eastAsia="楷体_GB2312"/>
                <w:b/>
                <w:sz w:val="28"/>
                <w:szCs w:val="28"/>
              </w:rPr>
            </w:pPr>
            <w:r>
              <w:rPr>
                <w:rFonts w:hint="eastAsia" w:ascii="楷体_GB2312" w:hAnsi="Times New Roman" w:eastAsia="楷体_GB2312"/>
                <w:b/>
                <w:sz w:val="28"/>
                <w:szCs w:val="28"/>
              </w:rPr>
              <w:t>12.琼海中原房车营地旅游景区项目</w:t>
            </w:r>
          </w:p>
          <w:p>
            <w:pPr>
              <w:pStyle w:val="10"/>
              <w:widowControl w:val="0"/>
              <w:spacing w:after="0" w:line="520" w:lineRule="exact"/>
              <w:ind w:left="0" w:leftChars="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建设房车旅游与生态休闲度假综合型示范项目，按150辆房车、150个房车自驾车营位和75个集装箱房、木屋、篷房配置开发，同时配套开发精品度假酒店等餐饮及商业配套设施。</w:t>
            </w:r>
          </w:p>
          <w:p>
            <w:pPr>
              <w:pStyle w:val="10"/>
              <w:widowControl w:val="0"/>
              <w:spacing w:after="0" w:line="520" w:lineRule="exact"/>
              <w:ind w:left="0" w:leftChars="0" w:firstLine="562" w:firstLineChars="200"/>
              <w:rPr>
                <w:rFonts w:ascii="楷体_GB2312" w:hAnsi="Times New Roman" w:eastAsia="楷体_GB2312"/>
                <w:b/>
                <w:color w:val="FF0000"/>
                <w:sz w:val="28"/>
                <w:szCs w:val="28"/>
              </w:rPr>
            </w:pPr>
            <w:r>
              <w:rPr>
                <w:rFonts w:ascii="楷体_GB2312" w:hAnsi="Times New Roman" w:eastAsia="楷体_GB2312"/>
                <w:b/>
                <w:color w:val="FF0000"/>
                <w:sz w:val="28"/>
                <w:szCs w:val="28"/>
              </w:rPr>
              <w:t>13.</w:t>
            </w:r>
            <w:r>
              <w:rPr>
                <w:rFonts w:hint="eastAsia" w:ascii="楷体_GB2312" w:hAnsi="Times New Roman" w:eastAsia="楷体_GB2312"/>
                <w:b/>
                <w:color w:val="FF0000"/>
                <w:sz w:val="28"/>
                <w:szCs w:val="28"/>
              </w:rPr>
              <w:t>国家全域旅游示范区建设项目</w:t>
            </w:r>
          </w:p>
          <w:p>
            <w:pPr>
              <w:pStyle w:val="10"/>
              <w:widowControl w:val="0"/>
              <w:spacing w:after="0" w:line="520" w:lineRule="exact"/>
              <w:ind w:left="0" w:leftChars="0" w:firstLine="56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根据海南省全域旅游示范省创建计划，推进国家全域旅游示范区建设。</w:t>
            </w:r>
          </w:p>
          <w:p>
            <w:pPr>
              <w:pStyle w:val="10"/>
              <w:widowControl w:val="0"/>
              <w:spacing w:after="0" w:line="520" w:lineRule="exact"/>
              <w:ind w:left="0" w:leftChars="0" w:firstLine="562" w:firstLineChars="200"/>
              <w:rPr>
                <w:rFonts w:ascii="楷体_GB2312" w:hAnsi="Times New Roman" w:eastAsia="楷体_GB2312"/>
                <w:b/>
                <w:sz w:val="28"/>
                <w:szCs w:val="28"/>
              </w:rPr>
            </w:pPr>
            <w:r>
              <w:rPr>
                <w:rFonts w:hint="eastAsia" w:ascii="楷体_GB2312" w:hAnsi="Times New Roman" w:eastAsia="楷体_GB2312"/>
                <w:b/>
                <w:sz w:val="28"/>
                <w:szCs w:val="28"/>
              </w:rPr>
              <w:t>14.潭门休闲渔业提质升级工程</w:t>
            </w:r>
          </w:p>
          <w:p>
            <w:pPr>
              <w:widowControl w:val="0"/>
              <w:spacing w:line="520" w:lineRule="exact"/>
              <w:ind w:firstLine="560" w:firstLineChars="200"/>
              <w:rPr>
                <w:rFonts w:ascii="仿宋" w:hAnsi="仿宋" w:eastAsia="仿宋" w:cs="仿宋"/>
                <w:sz w:val="28"/>
                <w:szCs w:val="28"/>
              </w:rPr>
            </w:pPr>
            <w:r>
              <w:rPr>
                <w:rFonts w:hint="eastAsia" w:ascii="仿宋_GB2312" w:hAnsi="仿宋_GB2312" w:eastAsia="仿宋_GB2312" w:cs="仿宋_GB2312"/>
                <w:sz w:val="28"/>
                <w:szCs w:val="28"/>
              </w:rPr>
              <w:t>持续完善潭门休闲渔业基础设施建设和服务保障水平，以近中海垂钓为基础，承接系列海钓大赛，建设国家级休闲渔业精品示范项目。</w:t>
            </w:r>
          </w:p>
        </w:tc>
      </w:tr>
    </w:tbl>
    <w:p>
      <w:pPr>
        <w:pStyle w:val="9"/>
        <w:widowControl w:val="0"/>
        <w:outlineLvl w:val="1"/>
        <w:rPr>
          <w:rFonts w:ascii="楷体" w:hAnsi="楷体" w:eastAsia="楷体" w:cs="楷体"/>
        </w:rPr>
      </w:pPr>
      <w:bookmarkStart w:id="167" w:name="_Toc6150"/>
      <w:bookmarkStart w:id="168" w:name="_Toc12203"/>
      <w:bookmarkStart w:id="169" w:name="_Toc14781"/>
      <w:bookmarkStart w:id="170" w:name="_Toc22060"/>
      <w:bookmarkStart w:id="171" w:name="_Toc17919"/>
      <w:bookmarkStart w:id="172" w:name="_Toc20923"/>
      <w:bookmarkStart w:id="173" w:name="_Toc12787"/>
      <w:bookmarkStart w:id="174" w:name="_Toc23129"/>
      <w:bookmarkStart w:id="175" w:name="_Toc18170"/>
      <w:r>
        <w:rPr>
          <w:rFonts w:hint="eastAsia" w:ascii="楷体" w:hAnsi="楷体" w:eastAsia="楷体" w:cs="楷体"/>
        </w:rPr>
        <w:t>第二节</w:t>
      </w:r>
      <w:r>
        <w:rPr>
          <w:rFonts w:ascii="楷体" w:hAnsi="楷体" w:eastAsia="楷体" w:cs="楷体"/>
        </w:rPr>
        <w:t xml:space="preserve">  </w:t>
      </w:r>
      <w:r>
        <w:rPr>
          <w:rFonts w:hint="eastAsia" w:ascii="楷体" w:hAnsi="楷体" w:eastAsia="楷体" w:cs="楷体"/>
        </w:rPr>
        <w:t>发展壮大现代服务业</w:t>
      </w:r>
      <w:bookmarkEnd w:id="167"/>
      <w:bookmarkEnd w:id="168"/>
      <w:bookmarkEnd w:id="169"/>
      <w:bookmarkEnd w:id="170"/>
      <w:bookmarkEnd w:id="171"/>
      <w:bookmarkEnd w:id="172"/>
      <w:bookmarkEnd w:id="173"/>
      <w:bookmarkEnd w:id="174"/>
      <w:bookmarkEnd w:id="175"/>
    </w:p>
    <w:p>
      <w:pPr>
        <w:widowControl w:val="0"/>
        <w:spacing w:line="580" w:lineRule="exact"/>
        <w:ind w:firstLine="617" w:firstLineChars="193"/>
        <w:rPr>
          <w:rFonts w:ascii="仿宋_GB2312" w:hAnsi="仿宋_GB2312" w:eastAsia="仿宋_GB2312" w:cs="仿宋_GB2312"/>
          <w:sz w:val="32"/>
          <w:szCs w:val="32"/>
        </w:rPr>
      </w:pPr>
      <w:r>
        <w:rPr>
          <w:rFonts w:hint="eastAsia" w:ascii="Times New Roman" w:hAnsi="Times New Roman" w:eastAsia="仿宋_GB2312" w:cs="仿宋_GB2312"/>
          <w:sz w:val="32"/>
          <w:szCs w:val="32"/>
        </w:rPr>
        <w:t>以现代物流、现代金融、教育培训、现代批发零售和特色住宿餐饮、家政和养老服务为重点，促进服务业和服务消费优化升级。</w:t>
      </w:r>
    </w:p>
    <w:p>
      <w:pPr>
        <w:widowControl w:val="0"/>
        <w:spacing w:line="580" w:lineRule="exact"/>
        <w:ind w:firstLine="620" w:firstLineChars="193"/>
        <w:rPr>
          <w:rFonts w:ascii="仿宋_GB2312" w:hAnsi="仿宋_GB2312" w:eastAsia="仿宋_GB2312" w:cs="仿宋_GB2312"/>
          <w:sz w:val="32"/>
          <w:szCs w:val="32"/>
        </w:rPr>
      </w:pPr>
      <w:r>
        <w:rPr>
          <w:rFonts w:hint="eastAsia" w:ascii="楷体" w:hAnsi="楷体" w:eastAsia="楷体" w:cs="Times New Roman"/>
          <w:b/>
          <w:sz w:val="32"/>
          <w:szCs w:val="32"/>
        </w:rPr>
        <w:t>现代物流业。</w:t>
      </w:r>
      <w:r>
        <w:rPr>
          <w:rFonts w:hint="eastAsia" w:ascii="仿宋_GB2312" w:hAnsi="仿宋_GB2312" w:eastAsia="仿宋_GB2312" w:cs="仿宋_GB2312"/>
          <w:sz w:val="32"/>
          <w:szCs w:val="32"/>
        </w:rPr>
        <w:t>依托博鳌机场发展航空客运、货运业，完善机场枢纽功能，提升客运服务能力；合理规划货运设施布局，建设海关监管仓库、出口拼装仓库、快件仓库等，发展临空型特色产品物流；引进和培育基地航空公司，支持境外航空公司、货代企业以博鳌机场为基地，发展国际中转业务，建设国际航空货运集散地。以龙湾港为重要载体，构建港航物流服务体系，引进综合运输能力较强的海洋运输船队，发展海洋运输业；引进一批商品运营商、贸易商及相关会计、法律、税务等机构，延伸港航产业链条；完善进港航道、锚地、疏港公路和重要枢纽等集疏运网络，建设海南岛东部物流基地。</w:t>
      </w:r>
    </w:p>
    <w:p>
      <w:pPr>
        <w:widowControl w:val="0"/>
        <w:spacing w:line="580" w:lineRule="exact"/>
        <w:ind w:firstLine="620" w:firstLineChars="193"/>
        <w:rPr>
          <w:rFonts w:ascii="仿宋" w:hAnsi="仿宋" w:eastAsia="仿宋" w:cs="Times New Roman"/>
          <w:sz w:val="32"/>
          <w:szCs w:val="32"/>
        </w:rPr>
      </w:pPr>
      <w:r>
        <w:rPr>
          <w:rFonts w:hint="eastAsia" w:ascii="楷体" w:hAnsi="楷体" w:eastAsia="楷体" w:cs="Times New Roman"/>
          <w:b/>
          <w:sz w:val="32"/>
          <w:szCs w:val="32"/>
        </w:rPr>
        <w:t>现代金融业。</w:t>
      </w:r>
      <w:r>
        <w:rPr>
          <w:rFonts w:hint="eastAsia" w:ascii="仿宋_GB2312" w:hAnsi="仿宋_GB2312" w:eastAsia="仿宋_GB2312" w:cs="仿宋_GB2312"/>
          <w:sz w:val="32"/>
          <w:szCs w:val="32"/>
        </w:rPr>
        <w:t>支持金融机构服务琼海贸易和投资优势特色产业。发展旅游及消费金融，允许港澳居民在当地中资银行机构远程开立琼海个人银行Ⅱ类账户，用于绑定内地手机电子支付应用程序。发展贸易金融，支持金融机构提供供应链融资服务，在贸易结算、贸易融资、信用担保、避险保值等方面进行创新，打造国际热带农产品交易中心。发展科技金融，支持银行机构与股权投资企业深度合作，开展投贷联动，支持琼海高科技企业发展。发展绿色金融，推动绿色信贷、绿色债券、绿色基金、绿色保险等金融产品和服务创新。发展医疗金融，支持琼海与主要客源国家和地区间实现医疗保险、健康商业保险等互认和支付系统对接，开展跨境医疗结算服务。面向海洋资源保护开发、南海保障、航空运输、游艇经济、医疗健康等优势特色产业发展的设备设施需求，发展金融租赁和融资租赁。</w:t>
      </w:r>
    </w:p>
    <w:p>
      <w:pPr>
        <w:widowControl w:val="0"/>
        <w:spacing w:line="580" w:lineRule="exact"/>
        <w:ind w:firstLine="626" w:firstLineChars="195"/>
        <w:rPr>
          <w:rFonts w:ascii="仿宋" w:hAnsi="仿宋" w:eastAsia="仿宋" w:cs="Times New Roman"/>
          <w:sz w:val="32"/>
          <w:szCs w:val="32"/>
        </w:rPr>
      </w:pPr>
      <w:r>
        <w:rPr>
          <w:rFonts w:hint="eastAsia" w:ascii="楷体" w:hAnsi="楷体" w:eastAsia="楷体" w:cs="Times New Roman"/>
          <w:b/>
          <w:sz w:val="32"/>
          <w:szCs w:val="32"/>
        </w:rPr>
        <w:t>教育培训。</w:t>
      </w:r>
      <w:r>
        <w:rPr>
          <w:rFonts w:hint="eastAsia" w:ascii="仿宋_GB2312" w:hAnsi="仿宋_GB2312" w:eastAsia="仿宋_GB2312" w:cs="仿宋_GB2312"/>
          <w:sz w:val="32"/>
          <w:szCs w:val="32"/>
        </w:rPr>
        <w:t>用好海南自贸港教育开放政策，争取引进境外理工农医大学、职业院校进驻琼海独立办学；支持国内重点高校引进国外知名院校在琼海举办具有独立法人资质的中外合作办学机构；支持采取新模式、新体制机制引进高水平国际学校；支持设立国际教育组织机构。依托市内大中专院校和科研院所、宾馆会议设施，发展服务自由贸易港建设和产业发展的教育培训产业，将琼海建设成为改革发展知识创造试验、交流传播的高地。</w:t>
      </w:r>
    </w:p>
    <w:p>
      <w:pPr>
        <w:widowControl w:val="0"/>
        <w:spacing w:line="580" w:lineRule="exact"/>
        <w:ind w:firstLine="626" w:firstLineChars="195"/>
        <w:rPr>
          <w:rFonts w:ascii="仿宋_GB2312" w:hAnsi="仿宋_GB2312" w:eastAsia="仿宋_GB2312" w:cs="仿宋_GB2312"/>
          <w:color w:val="FF0000"/>
          <w:sz w:val="32"/>
          <w:szCs w:val="32"/>
        </w:rPr>
      </w:pPr>
      <w:r>
        <w:rPr>
          <w:rFonts w:hint="eastAsia" w:ascii="楷体" w:hAnsi="楷体" w:eastAsia="楷体" w:cs="Times New Roman"/>
          <w:b/>
          <w:color w:val="FF0000"/>
          <w:sz w:val="32"/>
          <w:szCs w:val="32"/>
        </w:rPr>
        <w:t>现代批发零售业和特色住宿餐饮业。</w:t>
      </w:r>
      <w:r>
        <w:rPr>
          <w:rFonts w:hint="eastAsia" w:ascii="仿宋_GB2312" w:hAnsi="仿宋_GB2312" w:eastAsia="仿宋_GB2312" w:cs="仿宋_GB2312"/>
          <w:color w:val="FF0000"/>
          <w:sz w:val="32"/>
          <w:szCs w:val="32"/>
        </w:rPr>
        <w:t>合理规划全市城乡流通基础设施布局，鼓励发展商贸综合服务中心、农产品批发市场、集贸市场以及重要商品储备设施、物流（仓储）配送中心、快件集散中心、农村邮政物流设施、农产品冷链物流设施。通过引进国内知名农业企业入驻及支持本地龙头企业提质改造，打造琼海东部农产品交易中心。鼓励嘉积等重点镇传统百货店、老旧工业厂区等改造为多功能、综合性新型消费载体</w:t>
      </w:r>
      <w:r>
        <w:rPr>
          <w:rFonts w:hint="eastAsia" w:ascii="仿宋_GB2312" w:hAnsi="仿宋_GB2312" w:eastAsia="仿宋_GB2312" w:cs="仿宋_GB2312"/>
          <w:b/>
          <w:color w:val="FF0000"/>
          <w:sz w:val="32"/>
          <w:szCs w:val="32"/>
        </w:rPr>
        <w:t>。</w:t>
      </w:r>
      <w:r>
        <w:rPr>
          <w:rFonts w:hint="eastAsia" w:ascii="仿宋_GB2312" w:hAnsi="仿宋_GB2312" w:eastAsia="仿宋_GB2312" w:cs="仿宋_GB2312"/>
          <w:color w:val="FF0000"/>
          <w:sz w:val="32"/>
          <w:szCs w:val="32"/>
        </w:rPr>
        <w:t>积极发展绿色饭店、主题饭店、客栈民宿、短租公寓、长租公寓、有机餐饮、快餐团餐、特色餐饮、农家乐等满足广大人民群众消费需求的细分业态。</w:t>
      </w:r>
    </w:p>
    <w:p>
      <w:pPr>
        <w:widowControl w:val="0"/>
        <w:spacing w:line="580" w:lineRule="exact"/>
        <w:ind w:firstLine="626" w:firstLineChars="195"/>
        <w:rPr>
          <w:rFonts w:ascii="仿宋_GB2312" w:hAnsi="仿宋_GB2312" w:eastAsia="仿宋_GB2312" w:cs="仿宋_GB2312"/>
          <w:sz w:val="32"/>
          <w:szCs w:val="32"/>
        </w:rPr>
      </w:pPr>
      <w:r>
        <w:rPr>
          <w:rFonts w:hint="eastAsia" w:ascii="楷体" w:hAnsi="楷体" w:eastAsia="楷体" w:cs="Times New Roman"/>
          <w:b/>
          <w:sz w:val="32"/>
          <w:szCs w:val="32"/>
        </w:rPr>
        <w:t>家政和养老服务。</w:t>
      </w:r>
      <w:r>
        <w:rPr>
          <w:rFonts w:hint="eastAsia" w:ascii="仿宋_GB2312" w:hAnsi="仿宋_GB2312" w:eastAsia="仿宋_GB2312" w:cs="仿宋_GB2312"/>
          <w:sz w:val="32"/>
          <w:szCs w:val="32"/>
        </w:rPr>
        <w:t>完善城乡社区服务网点，多方式提供家用电器及其他日用品修理等生活性服务，推动生活性服务规范化、标准化发展。鼓励在乡村建立综合性服务网点，提高农村居民生活便利化水平。推动养老事业和养老产业协同发展，健全基本养老服务体系，发展普惠型养老服务和互助性养老。发挥琼海医疗、温泉、人文、区位等优势，建设面向国内外的高端养老服务消费胜地。</w:t>
      </w:r>
    </w:p>
    <w:p>
      <w:pPr>
        <w:pStyle w:val="10"/>
        <w:widowControl w:val="0"/>
      </w:pPr>
    </w:p>
    <w:tbl>
      <w:tblPr>
        <w:tblStyle w:val="1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288" w:type="dxa"/>
          </w:tcPr>
          <w:p>
            <w:pPr>
              <w:widowControl w:val="0"/>
              <w:spacing w:line="460" w:lineRule="exact"/>
              <w:jc w:val="center"/>
              <w:rPr>
                <w:rFonts w:ascii="Times New Roman" w:hAnsi="Times New Roman" w:eastAsia="黑体"/>
                <w:b/>
                <w:sz w:val="28"/>
                <w:szCs w:val="28"/>
              </w:rPr>
            </w:pPr>
            <w:r>
              <w:rPr>
                <w:rFonts w:hint="eastAsia" w:ascii="黑体" w:hAnsi="黑体" w:eastAsia="黑体"/>
                <w:b/>
                <w:sz w:val="28"/>
                <w:szCs w:val="28"/>
              </w:rPr>
              <w:t>专栏</w:t>
            </w:r>
            <w:r>
              <w:rPr>
                <w:rFonts w:ascii="黑体" w:hAnsi="黑体" w:eastAsia="黑体"/>
                <w:b/>
                <w:sz w:val="28"/>
                <w:szCs w:val="28"/>
              </w:rPr>
              <w:t>3</w:t>
            </w:r>
            <w:r>
              <w:rPr>
                <w:rFonts w:hint="eastAsia" w:ascii="黑体" w:hAnsi="黑体" w:eastAsia="黑体"/>
                <w:b/>
                <w:sz w:val="28"/>
                <w:szCs w:val="28"/>
              </w:rPr>
              <w:t>：“十四五”时期琼海现代服务业重点工程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8" w:type="dxa"/>
          </w:tcPr>
          <w:p>
            <w:pPr>
              <w:pStyle w:val="10"/>
              <w:widowControl w:val="0"/>
              <w:spacing w:after="0" w:line="520" w:lineRule="exact"/>
              <w:ind w:left="0" w:leftChars="0" w:firstLine="562" w:firstLineChars="200"/>
              <w:rPr>
                <w:rFonts w:ascii="楷体_GB2312" w:hAnsi="Times New Roman" w:eastAsia="楷体_GB2312"/>
                <w:b/>
                <w:sz w:val="28"/>
                <w:szCs w:val="28"/>
              </w:rPr>
            </w:pPr>
            <w:r>
              <w:rPr>
                <w:rFonts w:hint="eastAsia" w:ascii="楷体_GB2312" w:hAnsi="Times New Roman" w:eastAsia="楷体_GB2312"/>
                <w:b/>
                <w:sz w:val="28"/>
                <w:szCs w:val="28"/>
              </w:rPr>
              <w:t>01.琼海保利时代项目</w:t>
            </w:r>
          </w:p>
          <w:p>
            <w:pPr>
              <w:pStyle w:val="10"/>
              <w:widowControl w:val="0"/>
              <w:spacing w:after="0" w:line="520" w:lineRule="exact"/>
              <w:ind w:left="0" w:leftChars="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建设一座商业综合体。</w:t>
            </w:r>
          </w:p>
          <w:p>
            <w:pPr>
              <w:pStyle w:val="10"/>
              <w:widowControl w:val="0"/>
              <w:spacing w:after="0" w:line="520" w:lineRule="exact"/>
              <w:ind w:left="0" w:leftChars="0" w:firstLine="562" w:firstLineChars="200"/>
              <w:rPr>
                <w:rFonts w:ascii="楷体_GB2312" w:hAnsi="楷体_GB2312" w:eastAsia="楷体_GB2312" w:cs="楷体_GB2312"/>
                <w:b/>
                <w:sz w:val="28"/>
                <w:szCs w:val="28"/>
              </w:rPr>
            </w:pPr>
            <w:r>
              <w:rPr>
                <w:rFonts w:ascii="楷体_GB2312" w:hAnsi="楷体_GB2312" w:eastAsia="楷体_GB2312" w:cs="楷体_GB2312"/>
                <w:b/>
                <w:sz w:val="28"/>
                <w:szCs w:val="28"/>
              </w:rPr>
              <w:t>02.</w:t>
            </w:r>
            <w:r>
              <w:rPr>
                <w:rFonts w:hint="eastAsia" w:ascii="楷体_GB2312" w:hAnsi="楷体_GB2312" w:eastAsia="楷体_GB2312" w:cs="楷体_GB2312"/>
                <w:b/>
                <w:sz w:val="28"/>
                <w:szCs w:val="28"/>
              </w:rPr>
              <w:t>海南忠盈农产品物流交易中心</w:t>
            </w:r>
          </w:p>
          <w:p>
            <w:pPr>
              <w:pStyle w:val="10"/>
              <w:widowControl w:val="0"/>
              <w:spacing w:after="0" w:line="520" w:lineRule="exact"/>
              <w:ind w:left="0" w:leftChars="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建设一座集仓储、加工、配送、运输、检测、信息交流等多功能为一体的国际现代化农产品物流基地。</w:t>
            </w:r>
          </w:p>
          <w:p>
            <w:pPr>
              <w:pStyle w:val="10"/>
              <w:widowControl w:val="0"/>
              <w:spacing w:after="0" w:line="520" w:lineRule="exact"/>
              <w:ind w:left="0" w:leftChars="0" w:firstLine="562" w:firstLineChars="200"/>
              <w:rPr>
                <w:rFonts w:ascii="楷体_GB2312" w:hAnsi="楷体_GB2312" w:eastAsia="楷体_GB2312" w:cs="楷体_GB2312"/>
                <w:b/>
                <w:sz w:val="28"/>
                <w:szCs w:val="28"/>
              </w:rPr>
            </w:pPr>
            <w:r>
              <w:rPr>
                <w:rFonts w:ascii="楷体_GB2312" w:hAnsi="楷体_GB2312" w:eastAsia="楷体_GB2312" w:cs="楷体_GB2312"/>
                <w:b/>
                <w:sz w:val="28"/>
                <w:szCs w:val="28"/>
              </w:rPr>
              <w:t>03.琼海特色饮食提升工程</w:t>
            </w:r>
          </w:p>
          <w:p>
            <w:pPr>
              <w:pStyle w:val="10"/>
              <w:widowControl w:val="0"/>
              <w:spacing w:after="0" w:line="520" w:lineRule="exact"/>
              <w:ind w:left="0" w:leftChars="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举办博鳌亚洲论坛“海南风情美食园”、农夫集市活动、龙寿洋美食购物嘉年华、阳江美食节暨红色旅游文化周、会山镇黎苗“三月三”文化节、博鳌美食周、琼海市鸡屎藤粿子节、名粽展销会等活动，提升我市特色饮食知名度。</w:t>
            </w:r>
          </w:p>
          <w:p>
            <w:pPr>
              <w:pStyle w:val="10"/>
              <w:widowControl w:val="0"/>
              <w:spacing w:after="0" w:line="520" w:lineRule="exact"/>
              <w:ind w:left="0" w:leftChars="0" w:firstLine="562" w:firstLineChars="200"/>
              <w:rPr>
                <w:rFonts w:ascii="楷体_GB2312" w:hAnsi="楷体_GB2312" w:eastAsia="楷体_GB2312" w:cs="楷体_GB2312"/>
                <w:b/>
                <w:sz w:val="28"/>
                <w:szCs w:val="28"/>
              </w:rPr>
            </w:pPr>
            <w:r>
              <w:rPr>
                <w:rFonts w:ascii="楷体_GB2312" w:hAnsi="楷体_GB2312" w:eastAsia="楷体_GB2312" w:cs="楷体_GB2312"/>
                <w:b/>
                <w:sz w:val="28"/>
                <w:szCs w:val="28"/>
              </w:rPr>
              <w:t>0</w:t>
            </w:r>
            <w:r>
              <w:rPr>
                <w:rFonts w:hint="eastAsia" w:ascii="楷体_GB2312" w:hAnsi="楷体_GB2312" w:eastAsia="楷体_GB2312" w:cs="楷体_GB2312"/>
                <w:b/>
                <w:sz w:val="28"/>
                <w:szCs w:val="28"/>
              </w:rPr>
              <w:t>4</w:t>
            </w:r>
            <w:r>
              <w:rPr>
                <w:rFonts w:ascii="楷体_GB2312" w:hAnsi="楷体_GB2312" w:eastAsia="楷体_GB2312" w:cs="楷体_GB2312"/>
                <w:b/>
                <w:sz w:val="28"/>
                <w:szCs w:val="28"/>
              </w:rPr>
              <w:t>.</w:t>
            </w:r>
            <w:r>
              <w:rPr>
                <w:rFonts w:hint="eastAsia" w:ascii="楷体_GB2312" w:hAnsi="楷体_GB2312" w:eastAsia="楷体_GB2312" w:cs="楷体_GB2312"/>
                <w:b/>
                <w:sz w:val="28"/>
                <w:szCs w:val="28"/>
              </w:rPr>
              <w:t>琼海邮政快递分拨中心</w:t>
            </w:r>
          </w:p>
          <w:p>
            <w:pPr>
              <w:pStyle w:val="10"/>
              <w:widowControl w:val="0"/>
              <w:spacing w:after="0" w:line="520" w:lineRule="exact"/>
              <w:ind w:left="0" w:leftChars="0" w:firstLine="504" w:firstLineChars="200"/>
              <w:rPr>
                <w:rFonts w:ascii="仿宋_GB2312" w:hAnsi="仿宋_GB2312" w:eastAsia="仿宋_GB2312" w:cs="仿宋_GB2312"/>
                <w:w w:val="90"/>
                <w:sz w:val="28"/>
                <w:szCs w:val="28"/>
              </w:rPr>
            </w:pPr>
            <w:r>
              <w:rPr>
                <w:rFonts w:hint="eastAsia" w:ascii="仿宋_GB2312" w:hAnsi="仿宋_GB2312" w:eastAsia="仿宋_GB2312" w:cs="仿宋_GB2312"/>
                <w:w w:val="90"/>
                <w:sz w:val="28"/>
                <w:szCs w:val="28"/>
              </w:rPr>
              <w:t>建设邮件快件处理（含智能化快递物流）、 电商配送（含跨境电商） 中心。</w:t>
            </w:r>
          </w:p>
          <w:p>
            <w:pPr>
              <w:pStyle w:val="10"/>
              <w:widowControl w:val="0"/>
              <w:spacing w:after="0" w:line="520" w:lineRule="exact"/>
              <w:ind w:left="0" w:leftChars="0" w:firstLine="562" w:firstLineChars="200"/>
              <w:rPr>
                <w:rFonts w:ascii="楷体_GB2312" w:hAnsi="楷体_GB2312" w:eastAsia="楷体_GB2312" w:cs="楷体_GB2312"/>
                <w:b/>
                <w:sz w:val="28"/>
                <w:szCs w:val="28"/>
              </w:rPr>
            </w:pPr>
            <w:r>
              <w:rPr>
                <w:rFonts w:ascii="楷体_GB2312" w:hAnsi="楷体_GB2312" w:eastAsia="楷体_GB2312" w:cs="楷体_GB2312"/>
                <w:b/>
                <w:sz w:val="28"/>
                <w:szCs w:val="28"/>
              </w:rPr>
              <w:t>0</w:t>
            </w:r>
            <w:r>
              <w:rPr>
                <w:rFonts w:hint="eastAsia" w:ascii="楷体_GB2312" w:hAnsi="楷体_GB2312" w:eastAsia="楷体_GB2312" w:cs="楷体_GB2312"/>
                <w:b/>
                <w:sz w:val="28"/>
                <w:szCs w:val="28"/>
              </w:rPr>
              <w:t>5</w:t>
            </w:r>
            <w:r>
              <w:rPr>
                <w:rFonts w:ascii="楷体_GB2312" w:hAnsi="楷体_GB2312" w:eastAsia="楷体_GB2312" w:cs="楷体_GB2312"/>
                <w:b/>
                <w:sz w:val="28"/>
                <w:szCs w:val="28"/>
              </w:rPr>
              <w:t>.</w:t>
            </w:r>
            <w:r>
              <w:rPr>
                <w:rFonts w:hint="eastAsia" w:ascii="楷体_GB2312" w:hAnsi="楷体_GB2312" w:eastAsia="楷体_GB2312" w:cs="楷体_GB2312"/>
                <w:b/>
                <w:sz w:val="28"/>
                <w:szCs w:val="28"/>
              </w:rPr>
              <w:t>博鳌国际快件监管中心</w:t>
            </w:r>
          </w:p>
          <w:p>
            <w:pPr>
              <w:widowControl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建设国际快件监管中心、跨境电商监管中心、国际邮件互换局（交换站）、智能国际物流中心。</w:t>
            </w:r>
          </w:p>
          <w:p>
            <w:pPr>
              <w:widowControl w:val="0"/>
              <w:spacing w:line="520" w:lineRule="exact"/>
              <w:ind w:firstLine="548" w:firstLineChars="195"/>
              <w:rPr>
                <w:rFonts w:ascii="仿宋" w:hAnsi="仿宋" w:eastAsia="仿宋" w:cs="仿宋"/>
                <w:sz w:val="28"/>
                <w:szCs w:val="28"/>
              </w:rPr>
            </w:pPr>
            <w:r>
              <w:rPr>
                <w:rFonts w:hint="eastAsia" w:ascii="楷体_GB2312" w:hAnsi="Times New Roman" w:eastAsia="楷体_GB2312"/>
                <w:b/>
                <w:sz w:val="28"/>
                <w:szCs w:val="28"/>
              </w:rPr>
              <w:t>06.福松优质农产品集散中心</w:t>
            </w:r>
          </w:p>
          <w:p>
            <w:pPr>
              <w:widowControl w:val="0"/>
              <w:spacing w:line="520" w:lineRule="exact"/>
              <w:ind w:firstLine="546" w:firstLineChars="195"/>
              <w:rPr>
                <w:rFonts w:ascii="仿宋_GB2312" w:hAnsi="仿宋_GB2312" w:eastAsia="仿宋_GB2312" w:cs="仿宋_GB2312"/>
                <w:sz w:val="28"/>
                <w:szCs w:val="28"/>
              </w:rPr>
            </w:pPr>
            <w:r>
              <w:rPr>
                <w:rFonts w:hint="eastAsia" w:ascii="仿宋_GB2312" w:hAnsi="仿宋_GB2312" w:eastAsia="仿宋_GB2312" w:cs="仿宋_GB2312"/>
                <w:sz w:val="28"/>
                <w:szCs w:val="28"/>
              </w:rPr>
              <w:t>建设海南东部农产品交易集散中心。</w:t>
            </w:r>
          </w:p>
          <w:p>
            <w:pPr>
              <w:pStyle w:val="10"/>
              <w:widowControl w:val="0"/>
              <w:spacing w:after="0" w:line="520" w:lineRule="exact"/>
              <w:ind w:left="0" w:leftChars="0" w:firstLine="562" w:firstLineChars="200"/>
              <w:rPr>
                <w:rFonts w:ascii="楷体_GB2312" w:hAnsi="Times New Roman" w:eastAsia="楷体_GB2312"/>
                <w:b/>
                <w:sz w:val="28"/>
                <w:szCs w:val="28"/>
              </w:rPr>
            </w:pPr>
            <w:r>
              <w:rPr>
                <w:rFonts w:hint="eastAsia" w:ascii="楷体_GB2312" w:hAnsi="Times New Roman" w:eastAsia="楷体_GB2312"/>
                <w:b/>
                <w:sz w:val="28"/>
                <w:szCs w:val="28"/>
              </w:rPr>
              <w:t>07.博鳌基金开放创新基地</w:t>
            </w:r>
          </w:p>
          <w:p>
            <w:pPr>
              <w:pStyle w:val="10"/>
              <w:widowControl w:val="0"/>
              <w:spacing w:after="0" w:line="520" w:lineRule="exact"/>
              <w:ind w:left="0" w:leftChars="0" w:firstLine="560" w:firstLineChars="200"/>
              <w:rPr>
                <w:rFonts w:ascii="仿宋" w:hAnsi="仿宋" w:eastAsia="仿宋" w:cs="仿宋"/>
                <w:sz w:val="28"/>
                <w:szCs w:val="28"/>
              </w:rPr>
            </w:pPr>
            <w:r>
              <w:rPr>
                <w:rFonts w:hint="eastAsia" w:ascii="仿宋_GB2312" w:hAnsi="仿宋_GB2312" w:eastAsia="仿宋_GB2312" w:cs="仿宋_GB2312"/>
                <w:sz w:val="28"/>
                <w:szCs w:val="28"/>
              </w:rPr>
              <w:t>建设约100家基金公司办公总部，包括国际金融合作区、基金集聚区、私募股权交易中心区、科技金融中心区、会议培训区及配套服务区等。</w:t>
            </w:r>
          </w:p>
          <w:p>
            <w:pPr>
              <w:pStyle w:val="10"/>
              <w:widowControl w:val="0"/>
              <w:snapToGrid w:val="0"/>
              <w:spacing w:after="0" w:line="520" w:lineRule="exact"/>
              <w:ind w:left="0" w:leftChars="0" w:firstLine="548" w:firstLineChars="195"/>
              <w:rPr>
                <w:rFonts w:ascii="楷体_GB2312" w:hAnsi="Times New Roman" w:eastAsia="楷体_GB2312"/>
                <w:b/>
                <w:sz w:val="28"/>
                <w:szCs w:val="28"/>
              </w:rPr>
            </w:pPr>
            <w:r>
              <w:rPr>
                <w:rFonts w:hint="eastAsia" w:ascii="楷体_GB2312" w:hAnsi="Times New Roman" w:eastAsia="楷体_GB2312"/>
                <w:b/>
                <w:sz w:val="28"/>
                <w:szCs w:val="28"/>
              </w:rPr>
              <w:t>08.农贸市场升级改造工程</w:t>
            </w:r>
          </w:p>
          <w:p>
            <w:pPr>
              <w:pStyle w:val="10"/>
              <w:widowControl w:val="0"/>
              <w:spacing w:after="0" w:line="520" w:lineRule="exact"/>
              <w:ind w:left="0" w:leftChars="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对未完成改造的11家农贸市场在原基础上升级完善，对已完成硬件升级改造的农贸市场进行智慧化升级，打造智慧农贸。</w:t>
            </w:r>
          </w:p>
          <w:p>
            <w:pPr>
              <w:pStyle w:val="3"/>
              <w:widowControl w:val="0"/>
              <w:spacing w:line="520" w:lineRule="exact"/>
              <w:ind w:firstLine="562" w:firstLineChars="200"/>
              <w:rPr>
                <w:rFonts w:ascii="楷体_GB2312" w:hAnsi="Times New Roman" w:eastAsia="楷体_GB2312"/>
                <w:b/>
                <w:sz w:val="28"/>
                <w:szCs w:val="28"/>
              </w:rPr>
            </w:pPr>
            <w:r>
              <w:rPr>
                <w:rFonts w:hint="eastAsia" w:ascii="楷体_GB2312" w:hAnsi="Times New Roman" w:eastAsia="楷体_GB2312"/>
                <w:b/>
                <w:sz w:val="28"/>
                <w:szCs w:val="28"/>
              </w:rPr>
              <w:t>09.潭门海产品交易中心</w:t>
            </w:r>
          </w:p>
          <w:p>
            <w:pPr>
              <w:pStyle w:val="3"/>
              <w:widowControl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利用潭门作为南海之门、“千年渔港”和“南海维权渔业基地”的优势，建设全国具有广泛影响力的海产品交易中心。</w:t>
            </w:r>
          </w:p>
          <w:p>
            <w:pPr>
              <w:pStyle w:val="3"/>
              <w:widowControl w:val="0"/>
              <w:spacing w:line="520" w:lineRule="exact"/>
              <w:ind w:firstLine="562" w:firstLineChars="200"/>
              <w:rPr>
                <w:rFonts w:ascii="楷体_GB2312" w:hAnsi="Times New Roman" w:eastAsia="楷体_GB2312"/>
                <w:b/>
                <w:sz w:val="28"/>
                <w:szCs w:val="28"/>
              </w:rPr>
            </w:pPr>
            <w:r>
              <w:rPr>
                <w:rFonts w:hint="eastAsia" w:ascii="楷体_GB2312" w:hAnsi="Times New Roman" w:eastAsia="楷体_GB2312"/>
                <w:b/>
                <w:sz w:val="28"/>
                <w:szCs w:val="28"/>
              </w:rPr>
              <w:t>10.农夫集市和田园集市</w:t>
            </w:r>
          </w:p>
          <w:p>
            <w:pPr>
              <w:pStyle w:val="3"/>
              <w:widowControl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支持各镇（区）开展农夫集市和田园集市活动，打造独具乡村特色的商贸交易品牌。</w:t>
            </w:r>
          </w:p>
          <w:p>
            <w:pPr>
              <w:pStyle w:val="3"/>
              <w:widowControl w:val="0"/>
              <w:spacing w:line="520" w:lineRule="exact"/>
              <w:ind w:firstLine="562" w:firstLineChars="200"/>
              <w:rPr>
                <w:rFonts w:ascii="楷体_GB2312" w:hAnsi="Times New Roman" w:eastAsia="楷体_GB2312"/>
                <w:b/>
                <w:sz w:val="28"/>
                <w:szCs w:val="28"/>
              </w:rPr>
            </w:pPr>
            <w:r>
              <w:rPr>
                <w:rFonts w:hint="eastAsia" w:ascii="楷体_GB2312" w:hAnsi="Times New Roman" w:eastAsia="楷体_GB2312"/>
                <w:b/>
                <w:sz w:val="28"/>
                <w:szCs w:val="28"/>
              </w:rPr>
              <w:t>11.东部汽车交易中心</w:t>
            </w:r>
          </w:p>
          <w:p>
            <w:pPr>
              <w:pStyle w:val="10"/>
              <w:widowControl w:val="0"/>
              <w:snapToGrid w:val="0"/>
              <w:spacing w:after="0" w:line="520" w:lineRule="exact"/>
              <w:ind w:left="0" w:leftChars="0" w:firstLine="546" w:firstLineChars="195"/>
              <w:rPr>
                <w:rFonts w:ascii="仿宋_GB2312" w:hAnsi="仿宋_GB2312" w:eastAsia="仿宋_GB2312" w:cs="仿宋_GB2312"/>
                <w:sz w:val="28"/>
                <w:szCs w:val="28"/>
              </w:rPr>
            </w:pPr>
            <w:r>
              <w:rPr>
                <w:rFonts w:hint="eastAsia" w:ascii="仿宋_GB2312" w:hAnsi="仿宋_GB2312" w:eastAsia="仿宋_GB2312" w:cs="仿宋_GB2312"/>
                <w:sz w:val="28"/>
                <w:szCs w:val="28"/>
              </w:rPr>
              <w:t>进一步完善琼海国际汽车城配套设施，争取更多的汽车品牌4S店落户琼海。承接举办更多的汽车展览，将琼海国际汽车城打造成集新能源展销、维修服务、汽车租赁、二手车交易市场、汽配市场、汽车检测中心、车管所服务于一体的海南东部汽车消费综合服务中心。</w:t>
            </w:r>
          </w:p>
        </w:tc>
      </w:tr>
    </w:tbl>
    <w:p>
      <w:pPr>
        <w:pStyle w:val="9"/>
        <w:widowControl w:val="0"/>
        <w:spacing w:line="620" w:lineRule="exact"/>
        <w:outlineLvl w:val="1"/>
        <w:rPr>
          <w:rFonts w:ascii="楷体" w:hAnsi="楷体" w:eastAsia="楷体"/>
        </w:rPr>
      </w:pPr>
      <w:bookmarkStart w:id="176" w:name="_Toc30939"/>
      <w:bookmarkStart w:id="177" w:name="_Toc17032"/>
      <w:bookmarkStart w:id="178" w:name="_Toc5001"/>
      <w:bookmarkStart w:id="179" w:name="_Toc5281"/>
      <w:bookmarkStart w:id="180" w:name="_Toc4736"/>
      <w:bookmarkStart w:id="181" w:name="_Toc2447"/>
      <w:bookmarkStart w:id="182" w:name="_Toc8313"/>
      <w:bookmarkStart w:id="183" w:name="_Toc25692"/>
      <w:bookmarkStart w:id="184" w:name="_Toc25538"/>
    </w:p>
    <w:p>
      <w:pPr>
        <w:pStyle w:val="9"/>
        <w:widowControl w:val="0"/>
        <w:spacing w:line="620" w:lineRule="exact"/>
        <w:outlineLvl w:val="1"/>
        <w:rPr>
          <w:rFonts w:ascii="楷体" w:hAnsi="楷体" w:eastAsia="楷体"/>
        </w:rPr>
      </w:pPr>
      <w:r>
        <w:rPr>
          <w:rFonts w:hint="eastAsia" w:ascii="楷体" w:hAnsi="楷体" w:eastAsia="楷体"/>
        </w:rPr>
        <w:t>第三节</w:t>
      </w:r>
      <w:r>
        <w:rPr>
          <w:rFonts w:ascii="楷体" w:hAnsi="楷体" w:eastAsia="楷体"/>
        </w:rPr>
        <w:t xml:space="preserve">  </w:t>
      </w:r>
      <w:r>
        <w:rPr>
          <w:rFonts w:hint="eastAsia" w:ascii="楷体" w:hAnsi="楷体" w:eastAsia="楷体"/>
        </w:rPr>
        <w:t>培育发展高新技术产业</w:t>
      </w:r>
      <w:bookmarkEnd w:id="176"/>
      <w:bookmarkEnd w:id="177"/>
      <w:bookmarkEnd w:id="178"/>
      <w:bookmarkEnd w:id="179"/>
      <w:bookmarkEnd w:id="180"/>
      <w:bookmarkEnd w:id="181"/>
      <w:bookmarkEnd w:id="182"/>
      <w:bookmarkEnd w:id="183"/>
      <w:bookmarkEnd w:id="184"/>
    </w:p>
    <w:p>
      <w:pPr>
        <w:widowControl w:val="0"/>
        <w:spacing w:line="620" w:lineRule="exact"/>
        <w:ind w:firstLine="640" w:firstLineChars="200"/>
        <w:rPr>
          <w:rFonts w:ascii="仿宋_GB2312" w:hAnsi="仿宋_GB2312" w:eastAsia="仿宋_GB2312" w:cs="仿宋_GB2312"/>
          <w:color w:val="FF0000"/>
          <w:sz w:val="32"/>
          <w:szCs w:val="32"/>
        </w:rPr>
      </w:pPr>
      <w:r>
        <w:rPr>
          <w:rFonts w:hint="eastAsia" w:ascii="Times New Roman" w:hAnsi="Times New Roman" w:eastAsia="仿宋_GB2312" w:cs="仿宋_GB2312"/>
          <w:color w:val="FF0000"/>
          <w:sz w:val="32"/>
          <w:szCs w:val="32"/>
        </w:rPr>
        <w:t>坚持科技创新驱动，</w:t>
      </w:r>
      <w:r>
        <w:rPr>
          <w:rFonts w:hint="eastAsia" w:ascii="仿宋_GB2312" w:hAnsi="仿宋_GB2312" w:eastAsia="仿宋_GB2312" w:cs="仿宋_GB2312"/>
          <w:color w:val="FF0000"/>
          <w:sz w:val="32"/>
          <w:szCs w:val="32"/>
        </w:rPr>
        <w:t>为相关领域的科学研究和新技术、新工艺、新产品、新服务研究开发提供基础支撑，推动琼海高新技术产业发展，打造创新型城市。</w:t>
      </w:r>
    </w:p>
    <w:p>
      <w:pPr>
        <w:widowControl w:val="0"/>
        <w:spacing w:line="620" w:lineRule="exact"/>
        <w:ind w:firstLine="626" w:firstLineChars="195"/>
        <w:rPr>
          <w:rFonts w:ascii="仿宋_GB2312" w:hAnsi="仿宋_GB2312" w:eastAsia="仿宋_GB2312" w:cs="仿宋_GB2312"/>
          <w:sz w:val="32"/>
          <w:szCs w:val="32"/>
        </w:rPr>
      </w:pPr>
      <w:r>
        <w:rPr>
          <w:rFonts w:hint="eastAsia" w:ascii="楷体" w:hAnsi="楷体" w:eastAsia="楷体" w:cs="Times New Roman"/>
          <w:b/>
          <w:sz w:val="32"/>
          <w:szCs w:val="32"/>
        </w:rPr>
        <w:t>动漫和创意设计。</w:t>
      </w:r>
      <w:r>
        <w:rPr>
          <w:rFonts w:hint="eastAsia" w:ascii="仿宋_GB2312" w:hAnsi="仿宋_GB2312" w:eastAsia="仿宋_GB2312" w:cs="仿宋_GB2312"/>
          <w:sz w:val="32"/>
          <w:szCs w:val="32"/>
        </w:rPr>
        <w:t>重点发展网络文化、游戏动漫、影视制作、虚拟现实、电子竞技等数字创意产业。吸引创意设计机构、企业、团队、人才</w:t>
      </w:r>
      <w:r>
        <w:rPr>
          <w:rFonts w:ascii="仿宋_GB2312" w:hAnsi="仿宋_GB2312" w:eastAsia="仿宋_GB2312" w:cs="仿宋_GB2312"/>
          <w:sz w:val="32"/>
          <w:szCs w:val="32"/>
        </w:rPr>
        <w:t>举办工作室</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设计所</w:t>
      </w:r>
      <w:r>
        <w:rPr>
          <w:rFonts w:hint="eastAsia" w:ascii="仿宋_GB2312" w:hAnsi="仿宋_GB2312" w:eastAsia="仿宋_GB2312" w:cs="仿宋_GB2312"/>
          <w:sz w:val="32"/>
          <w:szCs w:val="32"/>
        </w:rPr>
        <w:t>，发展创意设计产业。围绕提升琼海热带现代农业品牌价值，注重农村文化资源、农业遗产、华侨文化资源的挖掘和传承，丰富农业产品、农事景观、环保包装、乡土文化等创意和设计，形成一批各具特色的休闲农业知名产品和知名品牌。</w:t>
      </w:r>
      <w:r>
        <w:rPr>
          <w:rFonts w:ascii="仿宋_GB2312" w:hAnsi="仿宋_GB2312" w:eastAsia="仿宋_GB2312" w:cs="仿宋_GB2312"/>
          <w:sz w:val="32"/>
          <w:szCs w:val="32"/>
        </w:rPr>
        <w:t>支持</w:t>
      </w:r>
      <w:r>
        <w:rPr>
          <w:rFonts w:hint="eastAsia" w:ascii="仿宋_GB2312" w:hAnsi="仿宋_GB2312" w:eastAsia="仿宋_GB2312" w:cs="仿宋_GB2312"/>
          <w:sz w:val="32"/>
          <w:szCs w:val="32"/>
        </w:rPr>
        <w:t>企业和个人</w:t>
      </w:r>
      <w:r>
        <w:rPr>
          <w:rFonts w:ascii="仿宋_GB2312" w:hAnsi="仿宋_GB2312" w:eastAsia="仿宋_GB2312" w:cs="仿宋_GB2312"/>
          <w:sz w:val="32"/>
          <w:szCs w:val="32"/>
        </w:rPr>
        <w:t>利用专利权、商标权、版权、收益权等无形资产及其他财产权利质押等方式融资</w:t>
      </w:r>
      <w:r>
        <w:rPr>
          <w:rFonts w:hint="eastAsia" w:ascii="仿宋_GB2312" w:hAnsi="仿宋_GB2312" w:eastAsia="仿宋_GB2312" w:cs="仿宋_GB2312"/>
          <w:sz w:val="32"/>
          <w:szCs w:val="32"/>
        </w:rPr>
        <w:t>，支持以划拨方式取得土地的单位利用存量房产、原有土地兴办创意设计产业。</w:t>
      </w:r>
    </w:p>
    <w:p>
      <w:pPr>
        <w:widowControl w:val="0"/>
        <w:spacing w:line="620" w:lineRule="exact"/>
        <w:ind w:firstLine="620" w:firstLineChars="193"/>
        <w:rPr>
          <w:rFonts w:ascii="楷体" w:hAnsi="楷体" w:eastAsia="楷体" w:cs="Times New Roman"/>
          <w:b/>
          <w:sz w:val="32"/>
          <w:szCs w:val="32"/>
        </w:rPr>
      </w:pPr>
      <w:r>
        <w:rPr>
          <w:rFonts w:hint="eastAsia" w:ascii="楷体" w:hAnsi="楷体" w:eastAsia="楷体" w:cs="Times New Roman"/>
          <w:b/>
          <w:sz w:val="32"/>
          <w:szCs w:val="32"/>
        </w:rPr>
        <w:t>临港维修。</w:t>
      </w:r>
      <w:r>
        <w:rPr>
          <w:rFonts w:hint="eastAsia" w:ascii="仿宋_GB2312" w:hAnsi="仿宋_GB2312" w:eastAsia="仿宋_GB2312" w:cs="仿宋_GB2312"/>
          <w:sz w:val="32"/>
          <w:szCs w:val="32"/>
        </w:rPr>
        <w:t>依托博鳌临空经济区，以定检为核心方向，以航线维护为补充，发展发动机维修、机体及内部维修、附件维修和维修工程相关产品的进出口业务。依托龙湾港临港经济区和潭门国家中心渔港，发展渔船、游艇、海钓船等维修业务。争取开展境内外保税免税检测维修再制造业务。</w:t>
      </w:r>
      <w:r>
        <w:rPr>
          <w:rFonts w:ascii="仿宋" w:hAnsi="仿宋" w:eastAsia="仿宋"/>
          <w:sz w:val="32"/>
          <w:szCs w:val="32"/>
        </w:rPr>
        <w:t xml:space="preserve"> </w:t>
      </w:r>
    </w:p>
    <w:p>
      <w:pPr>
        <w:widowControl w:val="0"/>
        <w:spacing w:line="620" w:lineRule="exact"/>
        <w:ind w:firstLine="620" w:firstLineChars="193"/>
        <w:rPr>
          <w:rFonts w:ascii="仿宋_GB2312" w:hAnsi="仿宋_GB2312" w:eastAsia="仿宋_GB2312" w:cs="仿宋_GB2312"/>
          <w:sz w:val="32"/>
          <w:szCs w:val="32"/>
        </w:rPr>
      </w:pPr>
      <w:r>
        <w:rPr>
          <w:rFonts w:hint="eastAsia" w:ascii="楷体" w:hAnsi="楷体" w:eastAsia="楷体" w:cs="Times New Roman"/>
          <w:b/>
          <w:sz w:val="32"/>
          <w:szCs w:val="32"/>
        </w:rPr>
        <w:t>先进制造业。</w:t>
      </w:r>
      <w:r>
        <w:rPr>
          <w:rFonts w:hint="eastAsia" w:ascii="仿宋_GB2312" w:hAnsi="仿宋_GB2312" w:eastAsia="仿宋_GB2312" w:cs="仿宋_GB2312"/>
          <w:sz w:val="32"/>
          <w:szCs w:val="32"/>
        </w:rPr>
        <w:t>依托潭门、嘉积、万泉等特色小镇加工业基础，紧紧围绕国际旅游消费中心建设发展旅游消费品制造业，引进生产企业和能工巧匠，发展侈奢品、旅游工艺品、农产品精深加工业。依托博鳌临空经济区和嘉积镇，与博鳌乐城国际医疗旅游先行区错位、配套发展，承接国内外行业龙头企业发展生物技术药物、现代中药、化学创新药产业。</w:t>
      </w:r>
    </w:p>
    <w:p>
      <w:pPr>
        <w:pStyle w:val="3"/>
        <w:widowControl w:val="0"/>
        <w:spacing w:line="620" w:lineRule="exact"/>
        <w:rPr>
          <w:rFonts w:ascii="仿宋_GB2312" w:hAnsi="仿宋_GB2312" w:eastAsia="仿宋_GB2312" w:cs="仿宋_GB2312"/>
          <w:sz w:val="32"/>
          <w:szCs w:val="32"/>
        </w:rPr>
      </w:pPr>
      <w:r>
        <w:rPr>
          <w:rFonts w:ascii="仿宋" w:hAnsi="仿宋" w:eastAsia="仿宋"/>
          <w:sz w:val="32"/>
          <w:szCs w:val="32"/>
        </w:rPr>
        <w:t xml:space="preserve">    </w:t>
      </w:r>
      <w:r>
        <w:rPr>
          <w:rFonts w:hint="eastAsia" w:ascii="楷体" w:hAnsi="楷体" w:eastAsia="楷体" w:cs="Times New Roman"/>
          <w:b/>
          <w:sz w:val="32"/>
          <w:szCs w:val="32"/>
        </w:rPr>
        <w:t>科技创新。</w:t>
      </w:r>
      <w:r>
        <w:rPr>
          <w:rFonts w:hint="eastAsia" w:ascii="仿宋_GB2312" w:hAnsi="仿宋_GB2312" w:eastAsia="仿宋_GB2312" w:cs="仿宋_GB2312"/>
          <w:sz w:val="32"/>
          <w:szCs w:val="32"/>
        </w:rPr>
        <w:t>落实科技研发投入年度评价考核和问责机制。发挥企业创新主体作用，鼓励全市企业参与技术创新。争取建设省临床医疗中心等省级创新平台、重大新药创制成果转移转化试点示范基地。鼓励和支持斯达制药公司、海南一龄公司等高新技术企业研发，促进技术创新，支撑经济发展。</w:t>
      </w:r>
      <w:r>
        <w:rPr>
          <w:rFonts w:hint="eastAsia" w:ascii="Times New Roman" w:hAnsi="Times New Roman" w:eastAsia="仿宋_GB2312" w:cs="仿宋_GB2312"/>
          <w:sz w:val="32"/>
          <w:szCs w:val="32"/>
        </w:rPr>
        <w:t>加快推进国家级智能网联示范先导区建设，瞄准智能网联汽车等前沿产业，建设车联网重点实验室，围绕车联网试点示范应用、产品技术创新、智慧交通建设以及产业集群培育，打造高新技术企业聚集的车联网应用示范基地，形成新型科技企业集群。</w:t>
      </w:r>
    </w:p>
    <w:tbl>
      <w:tblPr>
        <w:tblStyle w:val="1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288" w:type="dxa"/>
          </w:tcPr>
          <w:p>
            <w:pPr>
              <w:widowControl w:val="0"/>
              <w:spacing w:line="460" w:lineRule="exact"/>
              <w:jc w:val="center"/>
              <w:rPr>
                <w:rFonts w:ascii="Times New Roman" w:hAnsi="Times New Roman" w:eastAsia="黑体"/>
                <w:b/>
                <w:sz w:val="28"/>
                <w:szCs w:val="28"/>
              </w:rPr>
            </w:pPr>
            <w:r>
              <w:rPr>
                <w:rFonts w:hint="eastAsia" w:ascii="黑体" w:hAnsi="黑体" w:eastAsia="黑体"/>
                <w:b/>
                <w:sz w:val="28"/>
                <w:szCs w:val="28"/>
              </w:rPr>
              <w:t>专栏</w:t>
            </w:r>
            <w:r>
              <w:rPr>
                <w:rFonts w:ascii="黑体" w:hAnsi="黑体" w:eastAsia="黑体"/>
                <w:b/>
                <w:sz w:val="28"/>
                <w:szCs w:val="28"/>
              </w:rPr>
              <w:t>4</w:t>
            </w:r>
            <w:r>
              <w:rPr>
                <w:rFonts w:hint="eastAsia" w:ascii="黑体" w:hAnsi="黑体" w:eastAsia="黑体"/>
                <w:b/>
                <w:sz w:val="28"/>
                <w:szCs w:val="28"/>
              </w:rPr>
              <w:t>：“十四五”时期琼海高新技术产业重点工程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8" w:type="dxa"/>
          </w:tcPr>
          <w:p>
            <w:pPr>
              <w:widowControl w:val="0"/>
              <w:spacing w:line="520" w:lineRule="exact"/>
              <w:ind w:firstLine="562" w:firstLineChars="200"/>
              <w:rPr>
                <w:rFonts w:ascii="楷体_GB2312" w:hAnsi="Times New Roman" w:eastAsia="楷体_GB2312"/>
                <w:b/>
                <w:sz w:val="28"/>
                <w:szCs w:val="28"/>
              </w:rPr>
            </w:pPr>
            <w:r>
              <w:rPr>
                <w:rFonts w:ascii="楷体_GB2312" w:hAnsi="Times New Roman" w:eastAsia="楷体_GB2312"/>
                <w:b/>
                <w:sz w:val="28"/>
                <w:szCs w:val="28"/>
              </w:rPr>
              <w:t>01</w:t>
            </w:r>
            <w:r>
              <w:rPr>
                <w:rFonts w:hint="eastAsia" w:ascii="楷体_GB2312" w:hAnsi="Times New Roman" w:eastAsia="楷体_GB2312"/>
                <w:b/>
                <w:sz w:val="28"/>
                <w:szCs w:val="28"/>
              </w:rPr>
              <w:t>.博鳌电竞科技港工程（一期）</w:t>
            </w:r>
          </w:p>
          <w:p>
            <w:pPr>
              <w:widowControl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建设博鳌电竞小镇，包括数字电竞赛事中心、电竞人才公寓、电竞企业孵化基地、配套商业街区及公共区域等配套设施。</w:t>
            </w:r>
          </w:p>
          <w:p>
            <w:pPr>
              <w:widowControl w:val="0"/>
              <w:spacing w:line="520" w:lineRule="exact"/>
              <w:ind w:firstLine="562" w:firstLineChars="200"/>
              <w:rPr>
                <w:rFonts w:ascii="楷体_GB2312" w:hAnsi="Times New Roman" w:eastAsia="楷体_GB2312"/>
                <w:b/>
                <w:sz w:val="28"/>
                <w:szCs w:val="28"/>
              </w:rPr>
            </w:pPr>
            <w:r>
              <w:rPr>
                <w:rFonts w:hint="eastAsia" w:ascii="楷体_GB2312" w:hAnsi="Times New Roman" w:eastAsia="楷体_GB2312"/>
                <w:b/>
                <w:sz w:val="28"/>
                <w:szCs w:val="28"/>
              </w:rPr>
              <w:t>02</w:t>
            </w:r>
            <w:r>
              <w:rPr>
                <w:rFonts w:ascii="楷体_GB2312" w:hAnsi="Times New Roman" w:eastAsia="楷体_GB2312"/>
                <w:b/>
                <w:sz w:val="28"/>
                <w:szCs w:val="28"/>
              </w:rPr>
              <w:t>.</w:t>
            </w:r>
            <w:r>
              <w:rPr>
                <w:rFonts w:hint="eastAsia" w:ascii="楷体_GB2312" w:hAnsi="Times New Roman" w:eastAsia="楷体_GB2312"/>
                <w:b/>
                <w:sz w:val="28"/>
                <w:szCs w:val="28"/>
              </w:rPr>
              <w:t>海南汽车智能网联试验基地工程</w:t>
            </w:r>
          </w:p>
          <w:p>
            <w:pPr>
              <w:widowControl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支持海南汽车试验场建设i-VISTA海南测试基地，打造国家级热带新能源智能网联汽车试验场（海南）。</w:t>
            </w:r>
          </w:p>
          <w:p>
            <w:pPr>
              <w:widowControl w:val="0"/>
              <w:spacing w:line="520" w:lineRule="exact"/>
              <w:rPr>
                <w:rFonts w:ascii="楷体_GB2312" w:hAnsi="Times New Roman" w:eastAsia="楷体_GB2312"/>
                <w:b/>
                <w:sz w:val="28"/>
                <w:szCs w:val="28"/>
              </w:rPr>
            </w:pPr>
            <w:r>
              <w:rPr>
                <w:rFonts w:hint="eastAsia" w:ascii="仿宋" w:hAnsi="仿宋" w:eastAsia="仿宋" w:cs="仿宋"/>
                <w:sz w:val="28"/>
                <w:szCs w:val="28"/>
              </w:rPr>
              <w:t xml:space="preserve">    </w:t>
            </w:r>
            <w:r>
              <w:rPr>
                <w:rFonts w:hint="eastAsia" w:ascii="楷体_GB2312" w:hAnsi="Times New Roman" w:eastAsia="楷体_GB2312"/>
                <w:b/>
                <w:sz w:val="28"/>
                <w:szCs w:val="28"/>
              </w:rPr>
              <w:t>03.数码港工程</w:t>
            </w:r>
          </w:p>
          <w:p>
            <w:pPr>
              <w:widowControl w:val="0"/>
              <w:spacing w:line="520" w:lineRule="exact"/>
              <w:rPr>
                <w:rFonts w:ascii="仿宋_GB2312" w:hAnsi="仿宋_GB2312" w:eastAsia="仿宋_GB2312" w:cs="仿宋_GB2312"/>
                <w:sz w:val="28"/>
                <w:szCs w:val="28"/>
              </w:rPr>
            </w:pPr>
            <w:r>
              <w:rPr>
                <w:rFonts w:hint="eastAsia"/>
              </w:rPr>
              <w:t xml:space="preserve">     </w:t>
            </w:r>
            <w:r>
              <w:rPr>
                <w:rFonts w:hint="eastAsia" w:ascii="仿宋_GB2312" w:hAnsi="仿宋_GB2312" w:eastAsia="仿宋_GB2312" w:cs="仿宋_GB2312"/>
                <w:sz w:val="28"/>
                <w:szCs w:val="28"/>
              </w:rPr>
              <w:t>建设博鳌数码港科技园，包括科技服务中心、数字展示中心、科研中心、软件外包孵化器、服务楼、地下室及地面景观步行系统等。</w:t>
            </w:r>
          </w:p>
          <w:p>
            <w:pPr>
              <w:widowControl w:val="0"/>
              <w:spacing w:line="520" w:lineRule="exact"/>
              <w:ind w:firstLine="560"/>
              <w:rPr>
                <w:rFonts w:ascii="楷体_GB2312" w:hAnsi="Times New Roman" w:eastAsia="楷体_GB2312"/>
                <w:b/>
                <w:sz w:val="28"/>
                <w:szCs w:val="28"/>
              </w:rPr>
            </w:pPr>
            <w:r>
              <w:rPr>
                <w:rFonts w:hint="eastAsia" w:ascii="楷体_GB2312" w:hAnsi="Times New Roman" w:eastAsia="楷体_GB2312"/>
                <w:b/>
                <w:sz w:val="28"/>
                <w:szCs w:val="28"/>
              </w:rPr>
              <w:t>04.博鳌设计艺术创意产业硅谷工程</w:t>
            </w:r>
          </w:p>
          <w:p>
            <w:pPr>
              <w:widowControl w:val="0"/>
              <w:spacing w:line="5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以创意设计产业、艺术创作及交易为主，引入国内国际一流的设计机构打造世界顶级艺术创意创作中心，并配套相应的展示、交易、拍卖中心等配套设施。</w:t>
            </w:r>
          </w:p>
          <w:p>
            <w:pPr>
              <w:widowControl w:val="0"/>
              <w:spacing w:line="520" w:lineRule="exact"/>
              <w:ind w:firstLine="560"/>
              <w:rPr>
                <w:rFonts w:ascii="楷体_GB2312" w:hAnsi="Times New Roman" w:eastAsia="楷体_GB2312"/>
                <w:b/>
                <w:sz w:val="28"/>
                <w:szCs w:val="28"/>
              </w:rPr>
            </w:pPr>
            <w:r>
              <w:rPr>
                <w:rFonts w:hint="eastAsia" w:ascii="楷体_GB2312" w:hAnsi="Times New Roman" w:eastAsia="楷体_GB2312"/>
                <w:b/>
                <w:sz w:val="28"/>
                <w:szCs w:val="28"/>
              </w:rPr>
              <w:t>05.斯达制药厂扩建工程</w:t>
            </w:r>
          </w:p>
          <w:p>
            <w:pPr>
              <w:widowControl w:val="0"/>
              <w:spacing w:line="520" w:lineRule="exact"/>
              <w:ind w:firstLine="560"/>
              <w:rPr>
                <w:rFonts w:ascii="仿宋" w:hAnsi="仿宋" w:eastAsia="仿宋" w:cs="仿宋"/>
                <w:sz w:val="28"/>
                <w:szCs w:val="28"/>
              </w:rPr>
            </w:pPr>
            <w:r>
              <w:rPr>
                <w:rFonts w:hint="eastAsia" w:ascii="仿宋_GB2312" w:hAnsi="仿宋_GB2312" w:eastAsia="仿宋_GB2312" w:cs="仿宋_GB2312"/>
                <w:sz w:val="28"/>
                <w:szCs w:val="28"/>
              </w:rPr>
              <w:t>新建6000㎡的智能化仓库及配套设施、5000㎡的综合研发办公楼、3000㎡的吸入制剂楼。</w:t>
            </w:r>
          </w:p>
        </w:tc>
      </w:tr>
    </w:tbl>
    <w:p>
      <w:pPr>
        <w:pStyle w:val="9"/>
        <w:widowControl w:val="0"/>
        <w:spacing w:line="580" w:lineRule="exact"/>
        <w:rPr>
          <w:rFonts w:ascii="黑体" w:hAnsi="黑体" w:eastAsia="黑体" w:cs="黑体"/>
        </w:rPr>
      </w:pPr>
      <w:bookmarkStart w:id="185" w:name="_Toc56346945"/>
      <w:bookmarkStart w:id="186" w:name="_Toc26659"/>
      <w:bookmarkStart w:id="187" w:name="_Toc19493"/>
      <w:bookmarkStart w:id="188" w:name="_Toc23911"/>
      <w:bookmarkStart w:id="189" w:name="_Toc1225"/>
      <w:bookmarkStart w:id="190" w:name="_Toc27398"/>
      <w:bookmarkStart w:id="191" w:name="_Toc26224"/>
      <w:bookmarkStart w:id="192" w:name="_Toc32060"/>
      <w:bookmarkStart w:id="193" w:name="_Toc18157"/>
      <w:bookmarkStart w:id="194" w:name="_Toc14645"/>
    </w:p>
    <w:p>
      <w:pPr>
        <w:rPr>
          <w:rFonts w:ascii="黑体" w:hAnsi="黑体" w:eastAsia="黑体"/>
        </w:rPr>
      </w:pPr>
    </w:p>
    <w:p>
      <w:pPr>
        <w:pStyle w:val="2"/>
        <w:ind w:firstLine="640"/>
        <w:rPr>
          <w:rFonts w:ascii="黑体" w:hAnsi="黑体" w:eastAsia="黑体" w:cs="黑体"/>
          <w:color w:val="auto"/>
        </w:rPr>
      </w:pPr>
    </w:p>
    <w:p>
      <w:pPr>
        <w:pStyle w:val="2"/>
        <w:ind w:firstLine="640"/>
        <w:rPr>
          <w:rFonts w:ascii="黑体" w:hAnsi="黑体" w:eastAsia="黑体" w:cs="黑体"/>
          <w:color w:val="auto"/>
        </w:rPr>
      </w:pPr>
    </w:p>
    <w:p>
      <w:pPr>
        <w:pStyle w:val="2"/>
        <w:ind w:firstLine="640"/>
        <w:rPr>
          <w:rFonts w:ascii="黑体" w:hAnsi="黑体" w:eastAsia="黑体" w:cs="黑体"/>
          <w:color w:val="auto"/>
        </w:rPr>
      </w:pPr>
    </w:p>
    <w:p>
      <w:pPr>
        <w:pStyle w:val="2"/>
        <w:ind w:firstLine="640"/>
        <w:rPr>
          <w:rFonts w:ascii="黑体" w:hAnsi="黑体" w:eastAsia="黑体" w:cs="黑体"/>
          <w:color w:val="auto"/>
        </w:rPr>
      </w:pPr>
    </w:p>
    <w:p>
      <w:pPr>
        <w:pStyle w:val="2"/>
        <w:ind w:firstLine="640"/>
        <w:rPr>
          <w:rFonts w:ascii="黑体" w:hAnsi="黑体" w:eastAsia="黑体" w:cs="黑体"/>
          <w:color w:val="auto"/>
        </w:rPr>
      </w:pPr>
    </w:p>
    <w:p>
      <w:pPr>
        <w:pStyle w:val="2"/>
        <w:ind w:firstLine="640"/>
        <w:rPr>
          <w:rFonts w:ascii="黑体" w:hAnsi="黑体" w:eastAsia="黑体" w:cs="黑体"/>
          <w:color w:val="auto"/>
        </w:rPr>
      </w:pPr>
    </w:p>
    <w:p>
      <w:pPr>
        <w:pStyle w:val="2"/>
        <w:ind w:firstLine="640"/>
        <w:rPr>
          <w:rFonts w:ascii="黑体" w:hAnsi="黑体" w:eastAsia="黑体" w:cs="黑体"/>
          <w:color w:val="auto"/>
        </w:rPr>
      </w:pPr>
    </w:p>
    <w:p>
      <w:pPr>
        <w:pStyle w:val="2"/>
        <w:ind w:firstLine="640"/>
        <w:rPr>
          <w:rFonts w:ascii="黑体" w:hAnsi="黑体" w:eastAsia="黑体" w:cs="黑体"/>
          <w:color w:val="auto"/>
        </w:rPr>
      </w:pPr>
    </w:p>
    <w:p>
      <w:pPr>
        <w:pStyle w:val="2"/>
        <w:ind w:firstLine="640"/>
        <w:rPr>
          <w:rFonts w:ascii="黑体" w:hAnsi="黑体" w:eastAsia="黑体" w:cs="黑体"/>
          <w:color w:val="auto"/>
        </w:rPr>
      </w:pPr>
    </w:p>
    <w:p>
      <w:pPr>
        <w:pStyle w:val="2"/>
        <w:ind w:firstLine="640"/>
        <w:rPr>
          <w:rFonts w:ascii="黑体" w:hAnsi="黑体" w:eastAsia="黑体" w:cs="黑体"/>
          <w:color w:val="auto"/>
        </w:rPr>
      </w:pPr>
    </w:p>
    <w:p>
      <w:pPr>
        <w:pStyle w:val="2"/>
        <w:ind w:firstLine="640"/>
        <w:rPr>
          <w:rFonts w:ascii="黑体" w:hAnsi="黑体" w:eastAsia="黑体" w:cs="黑体"/>
          <w:color w:val="auto"/>
        </w:rPr>
      </w:pPr>
    </w:p>
    <w:p>
      <w:pPr>
        <w:pStyle w:val="2"/>
        <w:ind w:firstLine="640"/>
        <w:rPr>
          <w:rFonts w:ascii="黑体" w:hAnsi="黑体" w:eastAsia="黑体" w:cs="黑体"/>
          <w:color w:val="auto"/>
        </w:rPr>
      </w:pPr>
    </w:p>
    <w:p>
      <w:pPr>
        <w:pStyle w:val="2"/>
        <w:ind w:firstLine="640"/>
        <w:rPr>
          <w:rFonts w:ascii="黑体" w:hAnsi="黑体" w:eastAsia="黑体" w:cs="黑体"/>
          <w:color w:val="auto"/>
        </w:rPr>
      </w:pPr>
    </w:p>
    <w:p>
      <w:pPr>
        <w:pStyle w:val="2"/>
        <w:ind w:firstLine="640"/>
        <w:rPr>
          <w:rFonts w:ascii="黑体" w:hAnsi="黑体" w:eastAsia="黑体" w:cs="黑体"/>
          <w:color w:val="auto"/>
        </w:rPr>
      </w:pPr>
    </w:p>
    <w:p>
      <w:pPr>
        <w:pStyle w:val="2"/>
        <w:ind w:firstLine="640"/>
        <w:rPr>
          <w:rFonts w:ascii="黑体" w:hAnsi="黑体" w:eastAsia="黑体" w:cs="黑体"/>
          <w:color w:val="auto"/>
        </w:rPr>
      </w:pPr>
    </w:p>
    <w:p>
      <w:pPr>
        <w:pStyle w:val="2"/>
        <w:ind w:firstLine="640"/>
        <w:rPr>
          <w:rFonts w:ascii="黑体" w:hAnsi="黑体" w:eastAsia="黑体" w:cs="黑体"/>
          <w:color w:val="auto"/>
        </w:rPr>
      </w:pPr>
    </w:p>
    <w:p>
      <w:pPr>
        <w:pStyle w:val="2"/>
        <w:ind w:firstLine="0" w:firstLineChars="0"/>
        <w:rPr>
          <w:rFonts w:ascii="黑体" w:hAnsi="黑体" w:eastAsia="黑体" w:cs="黑体"/>
          <w:color w:val="auto"/>
        </w:rPr>
      </w:pPr>
    </w:p>
    <w:p>
      <w:pPr>
        <w:pStyle w:val="9"/>
        <w:widowControl w:val="0"/>
        <w:spacing w:line="580" w:lineRule="exact"/>
        <w:rPr>
          <w:rFonts w:ascii="黑体" w:hAnsi="黑体" w:eastAsia="黑体" w:cs="黑体"/>
        </w:rPr>
      </w:pPr>
      <w:r>
        <w:rPr>
          <w:rFonts w:hint="eastAsia" w:ascii="黑体" w:hAnsi="黑体" w:eastAsia="黑体" w:cs="黑体"/>
        </w:rPr>
        <w:t>第五章</w:t>
      </w:r>
      <w:bookmarkEnd w:id="185"/>
      <w:r>
        <w:rPr>
          <w:rFonts w:ascii="黑体" w:hAnsi="黑体" w:eastAsia="黑体" w:cs="黑体"/>
        </w:rPr>
        <w:t xml:space="preserve">  </w:t>
      </w:r>
      <w:bookmarkStart w:id="195" w:name="_Toc56346946"/>
      <w:r>
        <w:rPr>
          <w:rFonts w:hint="eastAsia" w:ascii="黑体" w:hAnsi="黑体" w:eastAsia="黑体" w:cs="黑体"/>
        </w:rPr>
        <w:t>高质量推进重点产业园区建设</w:t>
      </w:r>
      <w:bookmarkEnd w:id="186"/>
      <w:bookmarkEnd w:id="187"/>
      <w:bookmarkEnd w:id="188"/>
      <w:bookmarkEnd w:id="189"/>
      <w:bookmarkEnd w:id="190"/>
      <w:bookmarkEnd w:id="191"/>
      <w:bookmarkEnd w:id="192"/>
      <w:bookmarkEnd w:id="193"/>
      <w:bookmarkEnd w:id="194"/>
      <w:bookmarkEnd w:id="195"/>
    </w:p>
    <w:p>
      <w:pPr>
        <w:widowControl w:val="0"/>
        <w:spacing w:line="600" w:lineRule="exact"/>
        <w:ind w:firstLine="694" w:firstLineChars="217"/>
        <w:rPr>
          <w:rFonts w:ascii="仿宋_GB2312" w:hAnsi="仿宋_GB2312" w:eastAsia="仿宋_GB2312" w:cs="仿宋_GB2312"/>
          <w:sz w:val="32"/>
          <w:szCs w:val="32"/>
        </w:rPr>
      </w:pPr>
      <w:r>
        <w:rPr>
          <w:rFonts w:hint="eastAsia" w:ascii="仿宋_GB2312" w:hAnsi="仿宋_GB2312" w:eastAsia="仿宋_GB2312" w:cs="仿宋_GB2312"/>
          <w:sz w:val="32"/>
          <w:szCs w:val="32"/>
        </w:rPr>
        <w:t>集中力量建设重点功能平台，打造琼海承接海南自由贸易港政策的主阵地、优势特色产业发展的主平台、抓投资上项目促发展的主战场、拉动经济增长的主引擎。</w:t>
      </w:r>
    </w:p>
    <w:p>
      <w:pPr>
        <w:pStyle w:val="9"/>
        <w:widowControl w:val="0"/>
        <w:spacing w:line="600" w:lineRule="exact"/>
        <w:outlineLvl w:val="1"/>
        <w:rPr>
          <w:rFonts w:ascii="楷体" w:hAnsi="楷体" w:eastAsia="楷体" w:cs="楷体"/>
          <w:color w:val="FF0000"/>
        </w:rPr>
      </w:pPr>
      <w:bookmarkStart w:id="196" w:name="_Toc15000"/>
      <w:bookmarkStart w:id="197" w:name="_Toc56346947"/>
      <w:bookmarkStart w:id="198" w:name="_Toc6633"/>
      <w:bookmarkStart w:id="199" w:name="_Toc17316"/>
      <w:bookmarkStart w:id="200" w:name="_Toc13703"/>
      <w:bookmarkStart w:id="201" w:name="_Toc18194"/>
      <w:bookmarkStart w:id="202" w:name="_Toc24833"/>
      <w:bookmarkStart w:id="203" w:name="_Toc12893"/>
      <w:bookmarkStart w:id="204" w:name="_Toc1443"/>
      <w:bookmarkStart w:id="205" w:name="_Toc22465"/>
      <w:r>
        <w:rPr>
          <w:rFonts w:hint="eastAsia" w:ascii="楷体" w:hAnsi="楷体" w:eastAsia="楷体" w:cs="楷体"/>
          <w:color w:val="FF0000"/>
        </w:rPr>
        <w:t>第一节</w:t>
      </w:r>
      <w:r>
        <w:rPr>
          <w:rFonts w:ascii="楷体" w:hAnsi="楷体" w:eastAsia="楷体" w:cs="楷体"/>
          <w:color w:val="FF0000"/>
        </w:rPr>
        <w:t xml:space="preserve">  </w:t>
      </w:r>
      <w:r>
        <w:rPr>
          <w:rFonts w:hint="eastAsia" w:ascii="楷体" w:hAnsi="楷体" w:eastAsia="楷体" w:cs="楷体"/>
          <w:color w:val="FF0000"/>
        </w:rPr>
        <w:t>全力推进博鳌乐城国际医疗旅游先行区</w:t>
      </w:r>
      <w:bookmarkEnd w:id="196"/>
      <w:bookmarkEnd w:id="197"/>
      <w:r>
        <w:rPr>
          <w:rFonts w:hint="eastAsia" w:ascii="楷体" w:hAnsi="楷体" w:eastAsia="楷体" w:cs="楷体"/>
          <w:color w:val="FF0000"/>
        </w:rPr>
        <w:t>建设</w:t>
      </w:r>
      <w:bookmarkEnd w:id="198"/>
      <w:bookmarkEnd w:id="199"/>
      <w:bookmarkEnd w:id="200"/>
      <w:bookmarkEnd w:id="201"/>
      <w:bookmarkEnd w:id="202"/>
      <w:bookmarkEnd w:id="203"/>
      <w:bookmarkEnd w:id="204"/>
      <w:bookmarkEnd w:id="205"/>
    </w:p>
    <w:p>
      <w:pPr>
        <w:widowControl w:val="0"/>
        <w:spacing w:line="600" w:lineRule="exact"/>
        <w:ind w:firstLine="617" w:firstLineChars="193"/>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支持博鳌乐城国际医疗旅游先行区建成“国际医疗旅游目的地、尖端医学研发和转化基地、国家级新医疗机构集聚地”，加快实现博鳌乐城国际医疗旅游先行区医疗技术、设备和药品与国际先进水平“三同步”，打造特许医疗、健康管理、医美抗衰、疗养旅游为一体的高水平医疗服务产业集群，构建医疗健康产业发展高地，力争在</w:t>
      </w:r>
      <w:r>
        <w:rPr>
          <w:rFonts w:ascii="仿宋_GB2312" w:hAnsi="仿宋_GB2312" w:eastAsia="仿宋_GB2312" w:cs="仿宋_GB2312"/>
          <w:color w:val="FF0000"/>
          <w:sz w:val="32"/>
          <w:szCs w:val="32"/>
        </w:rPr>
        <w:t>2025年实现</w:t>
      </w:r>
      <w:r>
        <w:rPr>
          <w:rFonts w:hint="eastAsia" w:ascii="仿宋_GB2312" w:hAnsi="仿宋_GB2312" w:eastAsia="仿宋_GB2312" w:cs="仿宋_GB2312"/>
          <w:color w:val="FF0000"/>
          <w:sz w:val="32"/>
          <w:szCs w:val="32"/>
        </w:rPr>
        <w:t>营业收入达</w:t>
      </w:r>
      <w:r>
        <w:rPr>
          <w:rFonts w:hint="eastAsia" w:ascii="Times New Roman" w:hAnsi="Times New Roman" w:eastAsia="仿宋_GB2312" w:cs="仿宋_GB2312"/>
          <w:color w:val="FF0000"/>
          <w:sz w:val="32"/>
          <w:szCs w:val="32"/>
        </w:rPr>
        <w:t>500亿元</w:t>
      </w:r>
      <w:r>
        <w:rPr>
          <w:rFonts w:hint="eastAsia" w:ascii="仿宋_GB2312" w:hAnsi="仿宋_GB2312" w:eastAsia="仿宋_GB2312" w:cs="仿宋_GB2312"/>
          <w:color w:val="FF0000"/>
          <w:sz w:val="32"/>
          <w:szCs w:val="32"/>
        </w:rPr>
        <w:t>，税收收入达40亿元，吸引境外就医回流50万人次，引进3-5家国内知名公立医疗机构特许经营</w:t>
      </w:r>
      <w:r>
        <w:rPr>
          <w:rFonts w:ascii="仿宋_GB2312" w:hAnsi="仿宋_GB2312" w:eastAsia="仿宋_GB2312" w:cs="仿宋_GB2312"/>
          <w:color w:val="FF0000"/>
          <w:sz w:val="32"/>
          <w:szCs w:val="32"/>
        </w:rPr>
        <w:t>。</w:t>
      </w:r>
    </w:p>
    <w:p>
      <w:pPr>
        <w:widowControl w:val="0"/>
        <w:spacing w:line="600" w:lineRule="exact"/>
        <w:ind w:firstLine="620" w:firstLineChars="193"/>
        <w:rPr>
          <w:rFonts w:ascii="仿宋_GB2312" w:hAnsi="仿宋_GB2312" w:eastAsia="仿宋_GB2312" w:cs="仿宋_GB2312"/>
          <w:color w:val="FF0000"/>
          <w:sz w:val="32"/>
          <w:szCs w:val="32"/>
        </w:rPr>
      </w:pPr>
      <w:r>
        <w:rPr>
          <w:rFonts w:hint="eastAsia" w:ascii="楷体" w:hAnsi="楷体" w:eastAsia="楷体" w:cs="楷体"/>
          <w:b/>
          <w:color w:val="FF0000"/>
          <w:sz w:val="32"/>
          <w:szCs w:val="32"/>
        </w:rPr>
        <w:t>加强制度集成创新。</w:t>
      </w:r>
      <w:r>
        <w:rPr>
          <w:rFonts w:hint="eastAsia" w:ascii="仿宋_GB2312" w:hAnsi="仿宋_GB2312" w:eastAsia="仿宋_GB2312" w:cs="仿宋_GB2312"/>
          <w:color w:val="FF0000"/>
          <w:sz w:val="32"/>
          <w:szCs w:val="32"/>
        </w:rPr>
        <w:t>以制度集成创新解决发展中的痛点堵点问题，探索研究公立医院特许经营实现路径，进一步推动药膏、眼药水等其他剂型“带药出园”。按照强化严管和包容审慎的原则创新监管制度，推进医药分开和资源共享等医疗改革。继续释放政策红利，推进“双国九条”和自贸港优惠政策在先行区全面落地。推动创新药械极简审批，实现“从简审批、从严监管”。放大临床真实世界数据应用试点效应，开放实施药械企业“准入准营”，向为海南自由贸易港建设探索可复制可推广的经验。</w:t>
      </w:r>
    </w:p>
    <w:p>
      <w:pPr>
        <w:widowControl w:val="0"/>
        <w:spacing w:line="600" w:lineRule="exact"/>
        <w:ind w:firstLine="620" w:firstLineChars="193"/>
        <w:rPr>
          <w:rFonts w:ascii="仿宋" w:hAnsi="仿宋" w:eastAsia="仿宋"/>
          <w:color w:val="FF0000"/>
          <w:sz w:val="32"/>
          <w:szCs w:val="32"/>
        </w:rPr>
      </w:pPr>
      <w:r>
        <w:rPr>
          <w:rFonts w:hint="eastAsia" w:ascii="楷体" w:hAnsi="楷体" w:eastAsia="楷体" w:cs="楷体"/>
          <w:b/>
          <w:color w:val="FF0000"/>
          <w:sz w:val="32"/>
          <w:szCs w:val="32"/>
        </w:rPr>
        <w:t>大力支持先行区建设发展。</w:t>
      </w:r>
      <w:r>
        <w:rPr>
          <w:rFonts w:hint="eastAsia" w:ascii="仿宋_GB2312" w:hAnsi="仿宋_GB2312" w:eastAsia="仿宋_GB2312" w:cs="仿宋_GB2312"/>
          <w:color w:val="FF0000"/>
          <w:sz w:val="32"/>
          <w:szCs w:val="32"/>
        </w:rPr>
        <w:t>拓展超级医院等医疗机构“</w:t>
      </w:r>
      <w:r>
        <w:rPr>
          <w:rFonts w:ascii="仿宋_GB2312" w:hAnsi="仿宋_GB2312" w:eastAsia="仿宋_GB2312" w:cs="仿宋_GB2312"/>
          <w:color w:val="FF0000"/>
          <w:sz w:val="32"/>
          <w:szCs w:val="32"/>
        </w:rPr>
        <w:t>1+X</w:t>
      </w:r>
      <w:r>
        <w:rPr>
          <w:rFonts w:hint="eastAsia" w:ascii="仿宋_GB2312" w:hAnsi="仿宋_GB2312" w:eastAsia="仿宋_GB2312" w:cs="仿宋_GB2312"/>
          <w:color w:val="FF0000"/>
          <w:sz w:val="32"/>
          <w:szCs w:val="32"/>
        </w:rPr>
        <w:t>”共享医院发展模式，引进和培育一批技术水平先进、市场号召力强的医疗机构，引入省内公里医疗机构进驻园区并结合学科优势开展业务，为园区提供基础团队支撑和急救保障。加快建设一流医疗学科体系，打造国际医学及药械研发交流平台。建立专科特色医疗，打造耳鼻喉、心内科、骨科、皮肤科、眼科等国际品牌科室。以“互联网</w:t>
      </w:r>
      <w:r>
        <w:rPr>
          <w:rFonts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rPr>
        <w:t>”为手段，结合大数据、人工智能等新一代信息技术，优化医疗服务流程，建立完善与国际接轨的医疗健康服务体系。与国际最前沿技术接轨，引入全球最先进的药品、医疗器械、医疗手段。加快推进并扩大特许药械项目在先行区落地应用。推进干细胞、免疫细胞治疗、单抗药物、基因治疗、组织工程等生物前沿医疗新技术研究和转化应用。引入“双一流”医学教育和科研资源，建设国家临床医学创新中心、临床试验机构和重点实验室等医学科研机构，探索中外合作办学。引导国内境外医疗消费和医疗旅游回流先行区，吸引更多东南亚及“一带一路”国家游客赴先行区医疗旅游，构建国内大循环为主、国内国际双循环相互促进的发展格局。整合现有惠民及先行先试政策，推广具有乐城特色的商业保险，让广大民众共享博鳌乐城国际医疗旅游先行区建设成果。</w:t>
      </w:r>
    </w:p>
    <w:p>
      <w:pPr>
        <w:widowControl w:val="0"/>
        <w:spacing w:line="600" w:lineRule="exact"/>
        <w:ind w:firstLine="620" w:firstLineChars="193"/>
        <w:rPr>
          <w:rFonts w:ascii="仿宋_GB2312" w:hAnsi="仿宋_GB2312" w:eastAsia="仿宋_GB2312" w:cs="仿宋_GB2312"/>
          <w:color w:val="FF0000"/>
          <w:sz w:val="32"/>
          <w:szCs w:val="32"/>
        </w:rPr>
      </w:pPr>
      <w:r>
        <w:rPr>
          <w:rFonts w:hint="eastAsia" w:ascii="楷体" w:hAnsi="楷体" w:eastAsia="楷体" w:cs="楷体"/>
          <w:b/>
          <w:color w:val="FF0000"/>
          <w:sz w:val="32"/>
          <w:szCs w:val="32"/>
        </w:rPr>
        <w:t>强力做好先行区保障服务。</w:t>
      </w:r>
      <w:r>
        <w:rPr>
          <w:rFonts w:hint="eastAsia" w:ascii="仿宋_GB2312" w:hAnsi="仿宋_GB2312" w:eastAsia="仿宋_GB2312" w:cs="仿宋_GB2312"/>
          <w:color w:val="FF0000"/>
          <w:sz w:val="32"/>
          <w:szCs w:val="32"/>
        </w:rPr>
        <w:t>紧紧围绕先行区建设发展需求，提升服务质量和效率，做好征地拆迁、项目用地保障等服务工作。会同先行区管理局做好生产生活配套设施规划、建设、运营和管理，完善先行区周边镇配套基础设施，促进产城研融合发展。加大政策扶持力度，在住房保障、税收优惠、子女落户入学等方面予以优惠支持。建设先行区周边美丽乡村集群，发展“医在乐城，养在乡村”的医养结合模式，扩大先行区溢出效应。</w:t>
      </w:r>
    </w:p>
    <w:p>
      <w:pPr>
        <w:widowControl w:val="0"/>
        <w:spacing w:line="600" w:lineRule="exact"/>
        <w:ind w:firstLine="617" w:firstLineChars="193"/>
        <w:rPr>
          <w:rFonts w:ascii="仿宋_GB2312" w:hAnsi="仿宋_GB2312" w:eastAsia="仿宋_GB2312" w:cs="仿宋_GB2312"/>
          <w:color w:val="FF0000"/>
          <w:sz w:val="32"/>
          <w:szCs w:val="32"/>
        </w:rPr>
      </w:pPr>
    </w:p>
    <w:tbl>
      <w:tblPr>
        <w:tblStyle w:val="1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288" w:type="dxa"/>
          </w:tcPr>
          <w:p>
            <w:pPr>
              <w:widowControl w:val="0"/>
              <w:spacing w:line="460" w:lineRule="exact"/>
              <w:jc w:val="center"/>
              <w:rPr>
                <w:rFonts w:ascii="Times New Roman" w:hAnsi="Times New Roman" w:eastAsia="黑体"/>
                <w:b/>
                <w:color w:val="FF0000"/>
                <w:sz w:val="28"/>
                <w:szCs w:val="28"/>
              </w:rPr>
            </w:pPr>
            <w:r>
              <w:rPr>
                <w:rFonts w:hint="eastAsia" w:ascii="黑体" w:hAnsi="黑体" w:eastAsia="黑体"/>
                <w:b/>
                <w:color w:val="FF0000"/>
                <w:sz w:val="28"/>
                <w:szCs w:val="28"/>
              </w:rPr>
              <w:t>专栏</w:t>
            </w:r>
            <w:r>
              <w:rPr>
                <w:rFonts w:ascii="黑体" w:hAnsi="黑体" w:eastAsia="黑体"/>
                <w:b/>
                <w:color w:val="FF0000"/>
                <w:sz w:val="28"/>
                <w:szCs w:val="28"/>
              </w:rPr>
              <w:t>5</w:t>
            </w:r>
            <w:r>
              <w:rPr>
                <w:rFonts w:hint="eastAsia" w:ascii="黑体" w:hAnsi="黑体" w:eastAsia="黑体"/>
                <w:b/>
                <w:color w:val="FF0000"/>
                <w:sz w:val="28"/>
                <w:szCs w:val="28"/>
              </w:rPr>
              <w:t>：“十四五”博鳌乐城国际医疗旅游先行区重点工程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8" w:type="dxa"/>
          </w:tcPr>
          <w:p>
            <w:pPr>
              <w:widowControl w:val="0"/>
              <w:spacing w:line="520" w:lineRule="exact"/>
              <w:ind w:firstLine="562" w:firstLineChars="200"/>
              <w:rPr>
                <w:rFonts w:ascii="楷体_GB2312" w:hAnsi="Times New Roman" w:eastAsia="楷体_GB2312"/>
                <w:b/>
                <w:color w:val="FF0000"/>
                <w:sz w:val="28"/>
                <w:szCs w:val="28"/>
              </w:rPr>
            </w:pPr>
            <w:r>
              <w:rPr>
                <w:rFonts w:hint="eastAsia" w:ascii="楷体_GB2312" w:hAnsi="Times New Roman" w:eastAsia="楷体_GB2312"/>
                <w:b/>
                <w:color w:val="FF0000"/>
                <w:sz w:val="28"/>
                <w:szCs w:val="28"/>
              </w:rPr>
              <w:t>01.乐天大桥</w:t>
            </w:r>
          </w:p>
          <w:p>
            <w:pPr>
              <w:widowControl w:val="0"/>
              <w:spacing w:line="52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建设一座连接南岸乐天路及北岸棉中大道，全长约1.76km的大桥。</w:t>
            </w:r>
          </w:p>
          <w:p>
            <w:pPr>
              <w:widowControl w:val="0"/>
              <w:spacing w:line="520" w:lineRule="exact"/>
              <w:ind w:firstLine="562" w:firstLineChars="200"/>
              <w:rPr>
                <w:rFonts w:ascii="楷体_GB2312" w:hAnsi="Times New Roman" w:eastAsia="楷体_GB2312"/>
                <w:b/>
                <w:color w:val="FF0000"/>
                <w:sz w:val="28"/>
                <w:szCs w:val="28"/>
              </w:rPr>
            </w:pPr>
            <w:r>
              <w:rPr>
                <w:rFonts w:hint="eastAsia" w:ascii="楷体_GB2312" w:hAnsi="Times New Roman" w:eastAsia="楷体_GB2312"/>
                <w:b/>
                <w:color w:val="FF0000"/>
                <w:sz w:val="28"/>
                <w:szCs w:val="28"/>
              </w:rPr>
              <w:t>02.博鳌研究型医院（一期）</w:t>
            </w:r>
          </w:p>
          <w:p>
            <w:pPr>
              <w:widowControl w:val="0"/>
              <w:spacing w:line="52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建设500张床位研究型医院。包括医疗用房、科研用房、国家热带病医学研究中心、新医学技术临床应用国家培训中心、国际医学情报中心、后勤保障、专家宿舍及地下车库等。</w:t>
            </w:r>
          </w:p>
          <w:p>
            <w:pPr>
              <w:widowControl w:val="0"/>
              <w:spacing w:line="520" w:lineRule="exact"/>
              <w:ind w:firstLine="562" w:firstLineChars="200"/>
              <w:rPr>
                <w:rFonts w:ascii="楷体_GB2312" w:hAnsi="Times New Roman" w:eastAsia="楷体_GB2312"/>
                <w:b/>
                <w:color w:val="FF0000"/>
                <w:sz w:val="28"/>
                <w:szCs w:val="28"/>
              </w:rPr>
            </w:pPr>
            <w:r>
              <w:rPr>
                <w:rFonts w:hint="eastAsia" w:ascii="楷体_GB2312" w:hAnsi="Times New Roman" w:eastAsia="楷体_GB2312"/>
                <w:b/>
                <w:color w:val="FF0000"/>
                <w:sz w:val="28"/>
                <w:szCs w:val="28"/>
              </w:rPr>
              <w:t>03.四川大学医教研一体化项目华西乐城医院</w:t>
            </w:r>
          </w:p>
          <w:p>
            <w:pPr>
              <w:widowControl w:val="0"/>
              <w:spacing w:line="52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建设300-350张床位的研究型医院，包括医疗综合楼、病床楼、专家宿舍3栋等。</w:t>
            </w:r>
          </w:p>
          <w:p>
            <w:pPr>
              <w:widowControl w:val="0"/>
              <w:spacing w:line="520" w:lineRule="exact"/>
              <w:ind w:firstLine="562" w:firstLineChars="200"/>
              <w:rPr>
                <w:rFonts w:ascii="楷体_GB2312" w:hAnsi="Times New Roman" w:eastAsia="楷体_GB2312"/>
                <w:b/>
                <w:color w:val="FF0000"/>
                <w:sz w:val="28"/>
                <w:szCs w:val="28"/>
              </w:rPr>
            </w:pPr>
            <w:r>
              <w:rPr>
                <w:rFonts w:hint="eastAsia" w:ascii="楷体_GB2312" w:hAnsi="Times New Roman" w:eastAsia="楷体_GB2312"/>
                <w:b/>
                <w:color w:val="FF0000"/>
                <w:sz w:val="28"/>
                <w:szCs w:val="28"/>
              </w:rPr>
              <w:t>04.树兰博鳌医院</w:t>
            </w:r>
          </w:p>
          <w:p>
            <w:pPr>
              <w:widowControl w:val="0"/>
              <w:spacing w:line="52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分两期建设综合型医院一座，设置床位600张。</w:t>
            </w:r>
          </w:p>
          <w:p>
            <w:pPr>
              <w:widowControl w:val="0"/>
              <w:spacing w:line="520" w:lineRule="exact"/>
              <w:ind w:firstLine="562" w:firstLineChars="200"/>
              <w:rPr>
                <w:rFonts w:ascii="楷体_GB2312" w:hAnsi="Times New Roman" w:eastAsia="楷体_GB2312"/>
                <w:b/>
                <w:color w:val="FF0000"/>
                <w:sz w:val="28"/>
                <w:szCs w:val="28"/>
              </w:rPr>
            </w:pPr>
            <w:r>
              <w:rPr>
                <w:rFonts w:hint="eastAsia" w:ascii="楷体_GB2312" w:hAnsi="Times New Roman" w:eastAsia="楷体_GB2312"/>
                <w:b/>
                <w:color w:val="FF0000"/>
                <w:sz w:val="28"/>
                <w:szCs w:val="28"/>
              </w:rPr>
              <w:t>05.博鳌乐城国际医学产业中心</w:t>
            </w:r>
          </w:p>
          <w:p>
            <w:pPr>
              <w:widowControl w:val="0"/>
              <w:spacing w:line="52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建设产业孵化中心平台，配套会议会展、商业等功能。</w:t>
            </w:r>
          </w:p>
          <w:p>
            <w:pPr>
              <w:widowControl w:val="0"/>
              <w:spacing w:line="520" w:lineRule="exact"/>
              <w:ind w:firstLine="562" w:firstLineChars="200"/>
              <w:rPr>
                <w:rFonts w:ascii="楷体_GB2312" w:hAnsi="Times New Roman" w:eastAsia="楷体_GB2312"/>
                <w:b/>
                <w:color w:val="FF0000"/>
                <w:sz w:val="28"/>
                <w:szCs w:val="28"/>
              </w:rPr>
            </w:pPr>
            <w:r>
              <w:rPr>
                <w:rFonts w:hint="eastAsia" w:ascii="楷体_GB2312" w:hAnsi="Times New Roman" w:eastAsia="楷体_GB2312"/>
                <w:b/>
                <w:color w:val="FF0000"/>
                <w:sz w:val="28"/>
                <w:szCs w:val="28"/>
              </w:rPr>
              <w:t>06.博鳌乐城先行区河段综合整治工程（南岸）</w:t>
            </w:r>
          </w:p>
          <w:p>
            <w:pPr>
              <w:widowControl w:val="0"/>
              <w:spacing w:line="52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对南岸河段进行综合整治，包括新建堤防总长10.11km，新建排涝闸5座，排涝涵2座及疏浚河道长度16.593km等。</w:t>
            </w:r>
          </w:p>
          <w:p>
            <w:pPr>
              <w:widowControl w:val="0"/>
              <w:spacing w:line="520" w:lineRule="exact"/>
              <w:ind w:firstLine="562" w:firstLineChars="200"/>
              <w:rPr>
                <w:rFonts w:ascii="楷体_GB2312" w:hAnsi="Times New Roman" w:eastAsia="楷体_GB2312"/>
                <w:b/>
                <w:color w:val="FF0000"/>
                <w:sz w:val="28"/>
                <w:szCs w:val="28"/>
              </w:rPr>
            </w:pPr>
            <w:r>
              <w:rPr>
                <w:rFonts w:hint="eastAsia" w:ascii="楷体_GB2312" w:hAnsi="Times New Roman" w:eastAsia="楷体_GB2312"/>
                <w:b/>
                <w:color w:val="FF0000"/>
                <w:sz w:val="28"/>
                <w:szCs w:val="28"/>
              </w:rPr>
              <w:t>07.博鳌乐城先行区河段综合整治工程（北岸）</w:t>
            </w:r>
          </w:p>
          <w:p>
            <w:pPr>
              <w:widowControl w:val="0"/>
              <w:spacing w:line="52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对北岸河段进行综合整治，包括新建堤防总长11.5km，新建排涝闸4座，排涝涵3座及疏浚河道长度18.12km。</w:t>
            </w:r>
          </w:p>
          <w:p>
            <w:pPr>
              <w:widowControl w:val="0"/>
              <w:spacing w:line="520" w:lineRule="exact"/>
              <w:ind w:firstLine="562" w:firstLineChars="200"/>
              <w:rPr>
                <w:rFonts w:ascii="楷体_GB2312" w:hAnsi="Times New Roman" w:eastAsia="楷体_GB2312"/>
                <w:b/>
                <w:color w:val="FF0000"/>
                <w:sz w:val="28"/>
                <w:szCs w:val="28"/>
              </w:rPr>
            </w:pPr>
            <w:r>
              <w:rPr>
                <w:rFonts w:hint="eastAsia" w:ascii="楷体_GB2312" w:hAnsi="Times New Roman" w:eastAsia="楷体_GB2312"/>
                <w:b/>
                <w:color w:val="FF0000"/>
                <w:sz w:val="28"/>
                <w:szCs w:val="28"/>
              </w:rPr>
              <w:t>08.博鳌乐城国际创新药械交流转换中心</w:t>
            </w:r>
          </w:p>
          <w:p>
            <w:pPr>
              <w:widowControl w:val="0"/>
              <w:spacing w:line="52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建设1栋国际创新药械交流转换中心，总建筑面积25229.65㎡。</w:t>
            </w:r>
          </w:p>
          <w:p>
            <w:pPr>
              <w:widowControl w:val="0"/>
              <w:spacing w:line="520" w:lineRule="exact"/>
              <w:ind w:firstLine="562" w:firstLineChars="200"/>
              <w:rPr>
                <w:rFonts w:ascii="楷体_GB2312" w:hAnsi="Times New Roman" w:eastAsia="楷体_GB2312"/>
                <w:b/>
                <w:color w:val="FF0000"/>
                <w:sz w:val="28"/>
                <w:szCs w:val="28"/>
              </w:rPr>
            </w:pPr>
            <w:r>
              <w:rPr>
                <w:rFonts w:hint="eastAsia" w:ascii="楷体_GB2312" w:hAnsi="Times New Roman" w:eastAsia="楷体_GB2312"/>
                <w:b/>
                <w:color w:val="FF0000"/>
                <w:sz w:val="28"/>
                <w:szCs w:val="28"/>
              </w:rPr>
              <w:t>09.先行区康安路工程</w:t>
            </w:r>
          </w:p>
          <w:p>
            <w:pPr>
              <w:widowControl w:val="0"/>
              <w:spacing w:line="52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建设一条全长1.15km、双向四车道的城市次干路。</w:t>
            </w:r>
          </w:p>
          <w:p>
            <w:pPr>
              <w:widowControl w:val="0"/>
              <w:spacing w:line="520" w:lineRule="exact"/>
              <w:ind w:firstLine="420" w:firstLineChars="200"/>
              <w:rPr>
                <w:color w:val="FF0000"/>
              </w:rPr>
            </w:pPr>
            <w:r>
              <w:rPr>
                <w:rFonts w:hint="eastAsia"/>
                <w:color w:val="FF0000"/>
              </w:rPr>
              <w:t xml:space="preserve"> </w:t>
            </w:r>
            <w:r>
              <w:rPr>
                <w:rFonts w:hint="eastAsia" w:ascii="楷体_GB2312" w:hAnsi="Times New Roman" w:eastAsia="楷体_GB2312"/>
                <w:b/>
                <w:color w:val="FF0000"/>
                <w:sz w:val="28"/>
                <w:szCs w:val="28"/>
              </w:rPr>
              <w:t>10.先行区万博街二期工程</w:t>
            </w:r>
          </w:p>
          <w:p>
            <w:pPr>
              <w:widowControl w:val="0"/>
              <w:spacing w:line="52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建设一条全长3.12km、红线宽度24m的城市次干路。</w:t>
            </w:r>
          </w:p>
          <w:p>
            <w:pPr>
              <w:widowControl w:val="0"/>
              <w:spacing w:line="520" w:lineRule="exact"/>
              <w:ind w:firstLine="562" w:firstLineChars="200"/>
              <w:rPr>
                <w:rFonts w:ascii="楷体_GB2312" w:hAnsi="Times New Roman" w:eastAsia="楷体_GB2312"/>
                <w:b/>
                <w:color w:val="FF0000"/>
                <w:sz w:val="28"/>
                <w:szCs w:val="28"/>
              </w:rPr>
            </w:pPr>
            <w:r>
              <w:rPr>
                <w:rFonts w:hint="eastAsia" w:ascii="楷体_GB2312" w:hAnsi="Times New Roman" w:eastAsia="楷体_GB2312"/>
                <w:b/>
                <w:color w:val="FF0000"/>
                <w:sz w:val="28"/>
                <w:szCs w:val="28"/>
              </w:rPr>
              <w:t>11.先行区雅寨北路</w:t>
            </w:r>
          </w:p>
          <w:p>
            <w:pPr>
              <w:widowControl w:val="0"/>
              <w:spacing w:line="52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建设一条全长3.34km、红线宽度30m的道路。</w:t>
            </w:r>
          </w:p>
          <w:p>
            <w:pPr>
              <w:widowControl w:val="0"/>
              <w:spacing w:line="520" w:lineRule="exact"/>
              <w:ind w:firstLine="562" w:firstLineChars="200"/>
              <w:rPr>
                <w:rFonts w:ascii="楷体_GB2312" w:hAnsi="Times New Roman" w:eastAsia="楷体_GB2312"/>
                <w:b/>
                <w:color w:val="FF0000"/>
                <w:sz w:val="28"/>
                <w:szCs w:val="28"/>
              </w:rPr>
            </w:pPr>
            <w:r>
              <w:rPr>
                <w:rFonts w:hint="eastAsia" w:ascii="楷体_GB2312" w:hAnsi="Times New Roman" w:eastAsia="楷体_GB2312"/>
                <w:b/>
                <w:color w:val="FF0000"/>
                <w:sz w:val="28"/>
                <w:szCs w:val="28"/>
              </w:rPr>
              <w:t>12.先行区嘉乐大道</w:t>
            </w:r>
          </w:p>
          <w:p>
            <w:pPr>
              <w:widowControl w:val="0"/>
              <w:spacing w:line="52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建设一条全长8.6km、红线宽度30m的城市次干路。</w:t>
            </w:r>
          </w:p>
          <w:p>
            <w:pPr>
              <w:widowControl w:val="0"/>
              <w:spacing w:line="520" w:lineRule="exact"/>
              <w:ind w:firstLine="562" w:firstLineChars="200"/>
              <w:rPr>
                <w:rFonts w:ascii="楷体_GB2312" w:hAnsi="Times New Roman" w:eastAsia="楷体_GB2312"/>
                <w:b/>
                <w:color w:val="FF0000"/>
                <w:sz w:val="28"/>
                <w:szCs w:val="28"/>
              </w:rPr>
            </w:pPr>
            <w:r>
              <w:rPr>
                <w:rFonts w:hint="eastAsia" w:ascii="楷体_GB2312" w:hAnsi="Times New Roman" w:eastAsia="楷体_GB2312"/>
                <w:b/>
                <w:color w:val="FF0000"/>
                <w:sz w:val="28"/>
                <w:szCs w:val="28"/>
              </w:rPr>
              <w:t>13.博鳌金域国际医学检验中心</w:t>
            </w:r>
          </w:p>
          <w:p>
            <w:pPr>
              <w:widowControl w:val="0"/>
              <w:spacing w:line="52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建设一栋地下一层、地上五层的医学检验中心，包括医学检验中心、远程病理诊断中心、重点实验室、学术交流中心、医学转化研发中心等。</w:t>
            </w:r>
          </w:p>
          <w:p>
            <w:pPr>
              <w:widowControl w:val="0"/>
              <w:spacing w:line="520" w:lineRule="exact"/>
              <w:ind w:firstLine="562" w:firstLineChars="200"/>
              <w:rPr>
                <w:rFonts w:ascii="楷体_GB2312" w:hAnsi="Times New Roman" w:eastAsia="楷体_GB2312"/>
                <w:b/>
                <w:color w:val="FF0000"/>
                <w:sz w:val="28"/>
                <w:szCs w:val="28"/>
              </w:rPr>
            </w:pPr>
            <w:r>
              <w:rPr>
                <w:rFonts w:hint="eastAsia" w:ascii="楷体_GB2312" w:hAnsi="Times New Roman" w:eastAsia="楷体_GB2312"/>
                <w:b/>
                <w:color w:val="FF0000"/>
                <w:sz w:val="28"/>
                <w:szCs w:val="28"/>
              </w:rPr>
              <w:t>14.博鳌成美国际医学中心（二期）</w:t>
            </w:r>
          </w:p>
          <w:p>
            <w:pPr>
              <w:widowControl w:val="0"/>
              <w:spacing w:line="52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新建5层高的医技楼、4至5层高的专科住院楼、5层高的国际交流中心及专家公寓、手术室4间及配套附属设施工程，病床数为414张、停车位为1320个。</w:t>
            </w:r>
          </w:p>
          <w:p>
            <w:pPr>
              <w:widowControl w:val="0"/>
              <w:spacing w:line="520" w:lineRule="exact"/>
              <w:ind w:firstLine="562" w:firstLineChars="200"/>
              <w:rPr>
                <w:rFonts w:ascii="楷体_GB2312" w:hAnsi="Times New Roman" w:eastAsia="楷体_GB2312"/>
                <w:b/>
                <w:color w:val="FF0000"/>
                <w:sz w:val="28"/>
                <w:szCs w:val="28"/>
              </w:rPr>
            </w:pPr>
            <w:r>
              <w:rPr>
                <w:rFonts w:hint="eastAsia" w:ascii="楷体_GB2312" w:hAnsi="Times New Roman" w:eastAsia="楷体_GB2312"/>
                <w:b/>
                <w:color w:val="FF0000"/>
                <w:sz w:val="28"/>
                <w:szCs w:val="28"/>
              </w:rPr>
              <w:t>15.博鳌乐樱国际医院</w:t>
            </w:r>
          </w:p>
          <w:p>
            <w:pPr>
              <w:widowControl w:val="0"/>
              <w:spacing w:line="52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建设三级综合医院一座，以生殖医学、消化内镜、日式健康体检为重点科室。</w:t>
            </w:r>
          </w:p>
          <w:p>
            <w:pPr>
              <w:widowControl w:val="0"/>
              <w:spacing w:line="520" w:lineRule="exact"/>
              <w:ind w:firstLine="562" w:firstLineChars="200"/>
              <w:rPr>
                <w:rFonts w:ascii="楷体_GB2312" w:hAnsi="Times New Roman" w:eastAsia="楷体_GB2312"/>
                <w:b/>
                <w:color w:val="FF0000"/>
                <w:sz w:val="28"/>
                <w:szCs w:val="28"/>
              </w:rPr>
            </w:pPr>
            <w:r>
              <w:rPr>
                <w:rFonts w:hint="eastAsia" w:ascii="楷体_GB2312" w:hAnsi="Times New Roman" w:eastAsia="楷体_GB2312"/>
                <w:b/>
                <w:color w:val="FF0000"/>
                <w:sz w:val="28"/>
                <w:szCs w:val="28"/>
              </w:rPr>
              <w:t>16.博鳌乐城智慧医疗平台</w:t>
            </w:r>
          </w:p>
          <w:p>
            <w:pPr>
              <w:widowControl w:val="0"/>
              <w:spacing w:line="52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建设智慧医疗平台，包括远程会诊、5G+MR融合应用、应急救援、远程示教、智慧导诊、移动医护、远程超声、远程手术、5G智能急救云平台、远程监护、智慧院区管理等。</w:t>
            </w:r>
          </w:p>
          <w:p>
            <w:pPr>
              <w:widowControl w:val="0"/>
              <w:spacing w:line="520" w:lineRule="exact"/>
              <w:ind w:firstLine="562" w:firstLineChars="200"/>
              <w:rPr>
                <w:rFonts w:ascii="楷体_GB2312" w:hAnsi="Times New Roman" w:eastAsia="楷体_GB2312"/>
                <w:b/>
                <w:color w:val="FF0000"/>
                <w:sz w:val="28"/>
                <w:szCs w:val="28"/>
              </w:rPr>
            </w:pPr>
            <w:r>
              <w:rPr>
                <w:rFonts w:hint="eastAsia" w:ascii="楷体_GB2312" w:hAnsi="Times New Roman" w:eastAsia="楷体_GB2312"/>
                <w:b/>
                <w:color w:val="FF0000"/>
                <w:sz w:val="28"/>
                <w:szCs w:val="28"/>
              </w:rPr>
              <w:t>17.博鳌乐城智慧园区建设项目</w:t>
            </w:r>
          </w:p>
          <w:p>
            <w:pPr>
              <w:widowControl w:val="0"/>
              <w:spacing w:line="520" w:lineRule="exact"/>
              <w:ind w:firstLine="560" w:firstLineChars="200"/>
              <w:rPr>
                <w:rFonts w:ascii="仿宋" w:hAnsi="仿宋" w:eastAsia="仿宋" w:cs="仿宋"/>
                <w:color w:val="FF0000"/>
                <w:sz w:val="28"/>
                <w:szCs w:val="28"/>
              </w:rPr>
            </w:pPr>
            <w:r>
              <w:rPr>
                <w:rFonts w:hint="eastAsia" w:ascii="仿宋_GB2312" w:hAnsi="仿宋_GB2312" w:eastAsia="仿宋_GB2312" w:cs="仿宋_GB2312"/>
                <w:color w:val="FF0000"/>
                <w:sz w:val="28"/>
                <w:szCs w:val="28"/>
              </w:rPr>
              <w:t>对园区进行智慧化改造，包括智慧园区基础设施、乐城大脑综合管理平台两大部分。</w:t>
            </w:r>
          </w:p>
        </w:tc>
      </w:tr>
    </w:tbl>
    <w:p>
      <w:pPr>
        <w:pStyle w:val="9"/>
        <w:widowControl w:val="0"/>
        <w:spacing w:line="580" w:lineRule="exact"/>
        <w:outlineLvl w:val="1"/>
        <w:rPr>
          <w:rFonts w:ascii="楷体" w:hAnsi="楷体" w:eastAsia="楷体" w:cs="楷体"/>
          <w:color w:val="FF0000"/>
        </w:rPr>
      </w:pPr>
      <w:bookmarkStart w:id="206" w:name="_Toc31761"/>
      <w:bookmarkStart w:id="207" w:name="_Toc32226"/>
      <w:bookmarkStart w:id="208" w:name="_Toc14595"/>
      <w:bookmarkStart w:id="209" w:name="_Toc26447"/>
      <w:bookmarkStart w:id="210" w:name="_Toc11935"/>
      <w:bookmarkStart w:id="211" w:name="_Toc11222"/>
      <w:bookmarkStart w:id="212" w:name="_Toc30324"/>
      <w:bookmarkStart w:id="213" w:name="_Toc56346948"/>
      <w:bookmarkStart w:id="214" w:name="_Toc3342"/>
      <w:bookmarkStart w:id="215" w:name="_Toc671"/>
    </w:p>
    <w:p>
      <w:pPr>
        <w:pStyle w:val="9"/>
        <w:widowControl w:val="0"/>
        <w:spacing w:line="580" w:lineRule="exact"/>
        <w:outlineLvl w:val="1"/>
        <w:rPr>
          <w:rFonts w:ascii="楷体" w:hAnsi="楷体" w:eastAsia="楷体" w:cs="楷体"/>
          <w:color w:val="FF0000"/>
        </w:rPr>
      </w:pPr>
      <w:r>
        <w:rPr>
          <w:rFonts w:hint="eastAsia" w:ascii="楷体" w:hAnsi="楷体" w:eastAsia="楷体" w:cs="楷体"/>
          <w:color w:val="FF0000"/>
        </w:rPr>
        <w:t>第二节</w:t>
      </w:r>
      <w:r>
        <w:rPr>
          <w:rFonts w:ascii="楷体" w:hAnsi="楷体" w:eastAsia="楷体" w:cs="楷体"/>
          <w:color w:val="FF0000"/>
        </w:rPr>
        <w:t xml:space="preserve">  </w:t>
      </w:r>
      <w:r>
        <w:rPr>
          <w:rFonts w:hint="eastAsia" w:ascii="楷体" w:hAnsi="楷体" w:eastAsia="楷体" w:cs="楷体"/>
          <w:color w:val="FF0000"/>
        </w:rPr>
        <w:t>高水平建设博鳌亚洲论坛特别规划区</w:t>
      </w:r>
      <w:bookmarkEnd w:id="206"/>
      <w:bookmarkEnd w:id="207"/>
      <w:bookmarkEnd w:id="208"/>
      <w:bookmarkEnd w:id="209"/>
      <w:bookmarkEnd w:id="210"/>
      <w:bookmarkEnd w:id="211"/>
      <w:bookmarkEnd w:id="212"/>
      <w:bookmarkEnd w:id="213"/>
      <w:bookmarkEnd w:id="214"/>
      <w:bookmarkEnd w:id="215"/>
    </w:p>
    <w:p>
      <w:pPr>
        <w:widowControl w:val="0"/>
        <w:spacing w:line="580" w:lineRule="exact"/>
        <w:ind w:firstLine="647" w:firstLineChars="195"/>
        <w:rPr>
          <w:rFonts w:ascii="仿宋_GB2312" w:hAnsi="仿宋_GB2312" w:eastAsia="仿宋_GB2312" w:cs="仿宋_GB2312"/>
          <w:color w:val="FF0000"/>
          <w:spacing w:val="6"/>
          <w:sz w:val="32"/>
          <w:szCs w:val="32"/>
        </w:rPr>
      </w:pPr>
      <w:r>
        <w:rPr>
          <w:rFonts w:hint="eastAsia" w:ascii="仿宋_GB2312" w:hAnsi="仿宋_GB2312" w:eastAsia="仿宋_GB2312" w:cs="仿宋_GB2312"/>
          <w:color w:val="FF0000"/>
          <w:spacing w:val="6"/>
          <w:sz w:val="32"/>
          <w:szCs w:val="32"/>
        </w:rPr>
        <w:t>坚持“开放先导、集聚提升、创新驱动、多维协同、绿色发展”的原则，实施总规、控规和产业发展规划，统筹布局博鳌亚洲论坛特别规划区万宁龙滚部分区域功能，建设会议会展集聚区、全域旅游示范区、高效农业试验区、高端服务业培育平台“三区一平台”产业功能平台，加强对世界500强行业龙头企业的招商推介，扩大与全球政界、商界、学界、侨界交流合作，打造“国际经济文化合作交流中心”。</w:t>
      </w:r>
    </w:p>
    <w:p>
      <w:pPr>
        <w:widowControl w:val="0"/>
        <w:spacing w:line="560" w:lineRule="exact"/>
        <w:ind w:firstLine="626" w:firstLineChars="195"/>
        <w:rPr>
          <w:rFonts w:ascii="仿宋_GB2312" w:hAnsi="仿宋_GB2312" w:eastAsia="仿宋_GB2312" w:cs="仿宋_GB2312"/>
          <w:color w:val="FF0000"/>
          <w:sz w:val="32"/>
          <w:szCs w:val="32"/>
        </w:rPr>
      </w:pPr>
      <w:r>
        <w:rPr>
          <w:rFonts w:hint="eastAsia" w:ascii="楷体" w:hAnsi="楷体" w:eastAsia="楷体" w:cs="楷体"/>
          <w:b/>
          <w:bCs/>
          <w:color w:val="FF0000"/>
          <w:sz w:val="32"/>
          <w:szCs w:val="32"/>
        </w:rPr>
        <w:t>发展优势特色产业。</w:t>
      </w:r>
      <w:r>
        <w:rPr>
          <w:rFonts w:hint="eastAsia" w:ascii="仿宋_GB2312" w:hAnsi="仿宋_GB2312" w:eastAsia="仿宋_GB2312" w:cs="仿宋_GB2312"/>
          <w:color w:val="FF0000"/>
          <w:sz w:val="32"/>
          <w:szCs w:val="32"/>
        </w:rPr>
        <w:t>服务保障好博鳌亚洲论坛年会，充分利用每年4天博鳌亚洲论坛所形成的会展品牌优势和服务机制，争取更多高层次外交外事活动和机制性的国际会议在博鳌举办，带动全年365天持续承办国际国内会议展览，促进会议会展高端化国际化发展，建设国际会展集聚区，打造全球高端会议目的地。</w:t>
      </w:r>
    </w:p>
    <w:p>
      <w:pPr>
        <w:widowControl w:val="0"/>
        <w:spacing w:line="560" w:lineRule="exact"/>
        <w:ind w:firstLine="626" w:firstLineChars="195"/>
        <w:rPr>
          <w:rFonts w:ascii="仿宋_GB2312" w:hAnsi="仿宋_GB2312" w:eastAsia="仿宋_GB2312" w:cs="仿宋_GB2312"/>
          <w:color w:val="FF0000"/>
          <w:sz w:val="32"/>
          <w:szCs w:val="32"/>
        </w:rPr>
      </w:pPr>
      <w:r>
        <w:rPr>
          <w:rFonts w:hint="eastAsia" w:ascii="楷体" w:hAnsi="楷体" w:eastAsia="楷体" w:cs="楷体"/>
          <w:b/>
          <w:bCs/>
          <w:color w:val="FF0000"/>
          <w:sz w:val="32"/>
          <w:szCs w:val="32"/>
        </w:rPr>
        <w:t>打造会议会展产业链。</w:t>
      </w:r>
      <w:r>
        <w:rPr>
          <w:rFonts w:hint="eastAsia" w:ascii="仿宋_GB2312" w:hAnsi="仿宋_GB2312" w:eastAsia="仿宋_GB2312" w:cs="仿宋_GB2312"/>
          <w:color w:val="FF0000"/>
          <w:sz w:val="32"/>
          <w:szCs w:val="32"/>
        </w:rPr>
        <w:t>完善会议会展上中下游产业链，积极引导会议会展企业和策划、广告、印刷、设计、安装、租赁等展会服务企业，以及餐饮、住宿、金融、旅游、交通、物流等会展配套服务企业向博鳌地区集中，打造产业联动、行业配套、运行高效的会展产业集群。以博鳌亚洲论坛永久会址、博鳌亚洲论坛成立会址景区为基础，串联东方文化苑、玉带滩、圣公石、博鳌红树林湿地公园等景点，打造北至博文路，西至龙潭路、龙潭岭国宾馆西边界，东至玉带滩、南至培兰大桥（远期拓展至沙美内海）的国家5A级景区,将园区打造成国际旅游目的地、购物消费新天堂。建设高端服务业培育平台，拓展会展旅游与新兴金融业、高新技术产业、热带特色高效农业、文化教育和体育艺术产业等相关产业发展，构建“会展旅游</w:t>
      </w:r>
      <w:r>
        <w:rPr>
          <w:rFonts w:ascii="仿宋_GB2312" w:hAnsi="仿宋_GB2312" w:eastAsia="仿宋_GB2312" w:cs="仿宋_GB2312"/>
          <w:color w:val="FF0000"/>
          <w:sz w:val="32"/>
          <w:szCs w:val="32"/>
        </w:rPr>
        <w:t>+”相关产业的协同发展生</w:t>
      </w:r>
      <w:r>
        <w:rPr>
          <w:rFonts w:hint="eastAsia" w:ascii="仿宋_GB2312" w:hAnsi="仿宋_GB2312" w:eastAsia="仿宋_GB2312" w:cs="仿宋_GB2312"/>
          <w:color w:val="FF0000"/>
          <w:sz w:val="32"/>
          <w:szCs w:val="32"/>
        </w:rPr>
        <w:t>态圈。</w:t>
      </w:r>
    </w:p>
    <w:p>
      <w:pPr>
        <w:widowControl w:val="0"/>
        <w:spacing w:line="580" w:lineRule="exact"/>
        <w:ind w:firstLine="626" w:firstLineChars="195"/>
        <w:rPr>
          <w:rFonts w:ascii="仿宋" w:hAnsi="仿宋" w:eastAsia="仿宋" w:cs="仿宋"/>
          <w:color w:val="FF0000"/>
          <w:sz w:val="32"/>
          <w:szCs w:val="32"/>
        </w:rPr>
      </w:pPr>
      <w:r>
        <w:rPr>
          <w:rFonts w:hint="eastAsia" w:ascii="楷体" w:hAnsi="楷体" w:eastAsia="楷体" w:cs="楷体"/>
          <w:b/>
          <w:bCs/>
          <w:color w:val="FF0000"/>
          <w:sz w:val="32"/>
          <w:szCs w:val="32"/>
        </w:rPr>
        <w:t>完善基础设施配套。</w:t>
      </w:r>
      <w:r>
        <w:rPr>
          <w:rFonts w:hint="eastAsia" w:ascii="仿宋_GB2312" w:hAnsi="仿宋_GB2312" w:eastAsia="仿宋_GB2312" w:cs="仿宋_GB2312"/>
          <w:color w:val="FF0000"/>
          <w:sz w:val="32"/>
          <w:szCs w:val="32"/>
        </w:rPr>
        <w:t>加快完善博鳌核心区会议会展设施，建设开展重要外交外事活动和中外人文交流的酒店服务和保障场所。</w:t>
      </w:r>
      <w:r>
        <w:rPr>
          <w:rFonts w:hint="eastAsia" w:ascii="Times New Roman" w:hAnsi="Times New Roman" w:eastAsia="仿宋_GB2312" w:cs="仿宋_GB2312"/>
          <w:color w:val="FF0000"/>
          <w:sz w:val="32"/>
          <w:szCs w:val="32"/>
        </w:rPr>
        <w:t>打造“物联博鳌”，</w:t>
      </w:r>
      <w:r>
        <w:rPr>
          <w:rFonts w:hint="eastAsia" w:ascii="仿宋_GB2312" w:hAnsi="仿宋_GB2312" w:eastAsia="仿宋_GB2312" w:cs="仿宋_GB2312"/>
          <w:color w:val="FF0000"/>
          <w:sz w:val="32"/>
          <w:szCs w:val="32"/>
        </w:rPr>
        <w:t>支持博鳌亚洲论坛特别规划区率先构建宽带、融合、安全、泛在的信息基础设施体系，提升会议会展智慧化水平。创新经营理念和运营机制，不断提升会展服务水平和配套能力。补齐会展短板，建设区域内会议会展业大数据及公共信息平台，提升获得会展信息和服务得便捷性。坚持完善提升“美丽乡</w:t>
      </w:r>
      <w:r>
        <w:rPr>
          <w:rFonts w:hint="eastAsia" w:ascii="仿宋_GB2312" w:hAnsi="仿宋_GB2312" w:eastAsia="仿宋_GB2312" w:cs="仿宋_GB2312"/>
          <w:color w:val="FF0000"/>
          <w:w w:val="95"/>
          <w:sz w:val="32"/>
          <w:szCs w:val="32"/>
        </w:rPr>
        <w:t>村会客厅”对外交流平台，打造“国际范+田园风”的独特外交品牌。</w:t>
      </w:r>
    </w:p>
    <w:tbl>
      <w:tblPr>
        <w:tblStyle w:val="1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288" w:type="dxa"/>
          </w:tcPr>
          <w:p>
            <w:pPr>
              <w:widowControl w:val="0"/>
              <w:spacing w:line="460" w:lineRule="exact"/>
              <w:jc w:val="center"/>
              <w:rPr>
                <w:rFonts w:ascii="Times New Roman" w:hAnsi="Times New Roman" w:eastAsia="黑体"/>
                <w:b/>
                <w:color w:val="FF0000"/>
                <w:sz w:val="28"/>
                <w:szCs w:val="28"/>
              </w:rPr>
            </w:pPr>
            <w:r>
              <w:rPr>
                <w:rFonts w:hint="eastAsia" w:ascii="黑体" w:hAnsi="黑体" w:eastAsia="黑体"/>
                <w:b/>
                <w:color w:val="FF0000"/>
                <w:sz w:val="28"/>
                <w:szCs w:val="28"/>
              </w:rPr>
              <w:t>专栏</w:t>
            </w:r>
            <w:r>
              <w:rPr>
                <w:rFonts w:ascii="黑体" w:hAnsi="黑体" w:eastAsia="黑体"/>
                <w:b/>
                <w:color w:val="FF0000"/>
                <w:sz w:val="28"/>
                <w:szCs w:val="28"/>
              </w:rPr>
              <w:t>6</w:t>
            </w:r>
            <w:r>
              <w:rPr>
                <w:rFonts w:hint="eastAsia" w:ascii="黑体" w:hAnsi="黑体" w:eastAsia="黑体"/>
                <w:b/>
                <w:color w:val="FF0000"/>
                <w:sz w:val="28"/>
                <w:szCs w:val="28"/>
              </w:rPr>
              <w:t>：“十四五”博鳌亚洲论坛特别规划区重点工程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8" w:type="dxa"/>
          </w:tcPr>
          <w:p>
            <w:pPr>
              <w:widowControl w:val="0"/>
              <w:spacing w:line="520" w:lineRule="exact"/>
              <w:ind w:firstLine="562" w:firstLineChars="200"/>
              <w:rPr>
                <w:rFonts w:ascii="楷体_GB2312" w:hAnsi="Times New Roman" w:eastAsia="楷体_GB2312"/>
                <w:b/>
                <w:color w:val="FF0000"/>
                <w:sz w:val="28"/>
                <w:szCs w:val="28"/>
              </w:rPr>
            </w:pPr>
            <w:r>
              <w:rPr>
                <w:rFonts w:hint="eastAsia" w:ascii="楷体_GB2312" w:hAnsi="Times New Roman" w:eastAsia="楷体_GB2312"/>
                <w:b/>
                <w:color w:val="FF0000"/>
                <w:sz w:val="28"/>
                <w:szCs w:val="28"/>
              </w:rPr>
              <w:t>01.博鳌东屿岛旅游度假区改造工程</w:t>
            </w:r>
          </w:p>
          <w:p>
            <w:pPr>
              <w:widowControl w:val="0"/>
              <w:spacing w:line="520" w:lineRule="exact"/>
              <w:ind w:firstLine="420" w:firstLineChars="200"/>
              <w:rPr>
                <w:color w:val="FF0000"/>
              </w:rPr>
            </w:pPr>
            <w:r>
              <w:rPr>
                <w:rFonts w:hint="eastAsia"/>
                <w:color w:val="FF0000"/>
              </w:rPr>
              <w:t xml:space="preserve">  </w:t>
            </w:r>
            <w:r>
              <w:rPr>
                <w:rFonts w:hint="eastAsia" w:ascii="仿宋_GB2312" w:hAnsi="仿宋_GB2312" w:eastAsia="仿宋_GB2312" w:cs="仿宋_GB2312"/>
                <w:color w:val="FF0000"/>
                <w:sz w:val="28"/>
                <w:szCs w:val="28"/>
              </w:rPr>
              <w:t>对东屿岛旅游度假区进行升级改造，包括新建游客中心、智慧度假区建设等。</w:t>
            </w:r>
          </w:p>
          <w:p>
            <w:pPr>
              <w:widowControl w:val="0"/>
              <w:spacing w:line="520" w:lineRule="exact"/>
              <w:ind w:firstLine="562" w:firstLineChars="200"/>
              <w:rPr>
                <w:rFonts w:ascii="楷体_GB2312" w:hAnsi="Times New Roman" w:eastAsia="楷体_GB2312"/>
                <w:b/>
                <w:color w:val="FF0000"/>
                <w:sz w:val="28"/>
                <w:szCs w:val="28"/>
              </w:rPr>
            </w:pPr>
            <w:r>
              <w:rPr>
                <w:rFonts w:hint="eastAsia" w:ascii="楷体_GB2312" w:hAnsi="Times New Roman" w:eastAsia="楷体_GB2312"/>
                <w:b/>
                <w:color w:val="FF0000"/>
                <w:sz w:val="28"/>
                <w:szCs w:val="28"/>
              </w:rPr>
              <w:t>02.博鳌免税综合体项目</w:t>
            </w:r>
          </w:p>
          <w:p>
            <w:pPr>
              <w:widowControl w:val="0"/>
              <w:spacing w:line="52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建设免税商业综合体一座。</w:t>
            </w:r>
          </w:p>
          <w:p>
            <w:pPr>
              <w:widowControl w:val="0"/>
              <w:spacing w:line="520" w:lineRule="exact"/>
              <w:ind w:firstLine="562" w:firstLineChars="200"/>
              <w:rPr>
                <w:rFonts w:ascii="楷体_GB2312" w:hAnsi="Times New Roman" w:eastAsia="楷体_GB2312"/>
                <w:b/>
                <w:color w:val="FF0000"/>
                <w:sz w:val="28"/>
                <w:szCs w:val="28"/>
              </w:rPr>
            </w:pPr>
            <w:r>
              <w:rPr>
                <w:rFonts w:hint="eastAsia" w:ascii="楷体_GB2312" w:hAnsi="Times New Roman" w:eastAsia="楷体_GB2312"/>
                <w:b/>
                <w:color w:val="FF0000"/>
                <w:sz w:val="28"/>
                <w:szCs w:val="28"/>
              </w:rPr>
              <w:t>03.中信博鳌海鸭湖颐园</w:t>
            </w:r>
          </w:p>
          <w:p>
            <w:pPr>
              <w:widowControl w:val="0"/>
              <w:spacing w:line="52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占地178.65亩，建设小型会晤会场、特色下榻客房，中小型宴会厅等。</w:t>
            </w:r>
          </w:p>
          <w:p>
            <w:pPr>
              <w:widowControl w:val="0"/>
              <w:spacing w:line="520" w:lineRule="exact"/>
              <w:ind w:firstLine="562" w:firstLineChars="200"/>
              <w:rPr>
                <w:rFonts w:ascii="楷体_GB2312" w:hAnsi="Times New Roman" w:eastAsia="楷体_GB2312"/>
                <w:b/>
                <w:color w:val="FF0000"/>
                <w:sz w:val="28"/>
                <w:szCs w:val="28"/>
              </w:rPr>
            </w:pPr>
            <w:r>
              <w:rPr>
                <w:rFonts w:ascii="楷体_GB2312" w:hAnsi="Times New Roman" w:eastAsia="楷体_GB2312"/>
                <w:b/>
                <w:color w:val="FF0000"/>
                <w:sz w:val="28"/>
                <w:szCs w:val="28"/>
              </w:rPr>
              <w:t>0</w:t>
            </w:r>
            <w:r>
              <w:rPr>
                <w:rFonts w:hint="eastAsia" w:ascii="楷体_GB2312" w:hAnsi="Times New Roman" w:eastAsia="楷体_GB2312"/>
                <w:b/>
                <w:color w:val="FF0000"/>
                <w:sz w:val="28"/>
                <w:szCs w:val="28"/>
              </w:rPr>
              <w:t>4.博鳌中心镇区规划一路</w:t>
            </w:r>
          </w:p>
          <w:p>
            <w:pPr>
              <w:widowControl w:val="0"/>
              <w:spacing w:line="52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建设一条全长2.05km的道路。</w:t>
            </w:r>
          </w:p>
          <w:p>
            <w:pPr>
              <w:pStyle w:val="3"/>
              <w:widowControl w:val="0"/>
              <w:spacing w:line="520" w:lineRule="exact"/>
              <w:ind w:firstLine="560"/>
              <w:rPr>
                <w:rFonts w:ascii="楷体_GB2312" w:hAnsi="Times New Roman" w:eastAsia="楷体_GB2312"/>
                <w:b/>
                <w:color w:val="FF0000"/>
                <w:sz w:val="28"/>
                <w:szCs w:val="28"/>
              </w:rPr>
            </w:pPr>
            <w:r>
              <w:rPr>
                <w:rFonts w:hint="eastAsia" w:ascii="楷体_GB2312" w:hAnsi="Times New Roman" w:eastAsia="楷体_GB2312"/>
                <w:b/>
                <w:color w:val="FF0000"/>
                <w:sz w:val="28"/>
                <w:szCs w:val="28"/>
              </w:rPr>
              <w:t>05.博鳌国宾馆二期工程</w:t>
            </w:r>
          </w:p>
          <w:p>
            <w:pPr>
              <w:pStyle w:val="3"/>
              <w:widowControl w:val="0"/>
              <w:spacing w:line="520" w:lineRule="exact"/>
              <w:ind w:firstLine="56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对国宾馆进行升级改造，完善博鳌亚洲论坛会议配套设施，包括建设元首会晤酒店区、首脑/政要客房区、特色下榻酒店等。</w:t>
            </w:r>
          </w:p>
          <w:p>
            <w:pPr>
              <w:pStyle w:val="3"/>
              <w:widowControl w:val="0"/>
              <w:spacing w:line="520" w:lineRule="exact"/>
              <w:ind w:firstLine="560"/>
              <w:rPr>
                <w:rFonts w:ascii="楷体_GB2312" w:hAnsi="Times New Roman" w:eastAsia="楷体_GB2312"/>
                <w:b/>
                <w:color w:val="FF0000"/>
                <w:sz w:val="28"/>
                <w:szCs w:val="28"/>
              </w:rPr>
            </w:pPr>
            <w:r>
              <w:rPr>
                <w:rFonts w:hint="eastAsia" w:ascii="楷体_GB2312" w:hAnsi="Times New Roman" w:eastAsia="楷体_GB2312"/>
                <w:b/>
                <w:color w:val="FF0000"/>
                <w:sz w:val="28"/>
                <w:szCs w:val="28"/>
              </w:rPr>
              <w:t>06.博鳌田园小镇品质提升工程</w:t>
            </w:r>
          </w:p>
          <w:p>
            <w:pPr>
              <w:pStyle w:val="3"/>
              <w:widowControl w:val="0"/>
              <w:spacing w:line="520" w:lineRule="exact"/>
              <w:ind w:firstLine="56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提升博鳌田园小镇国际化水平，不断完善会议、旅游等服务配套功能，更好地服务保障博鳌亚洲论坛年会。</w:t>
            </w:r>
          </w:p>
          <w:p>
            <w:pPr>
              <w:pStyle w:val="3"/>
              <w:widowControl w:val="0"/>
              <w:spacing w:line="520" w:lineRule="exact"/>
              <w:ind w:firstLine="560"/>
              <w:rPr>
                <w:rFonts w:ascii="楷体_GB2312" w:hAnsi="Times New Roman" w:eastAsia="楷体_GB2312"/>
                <w:b/>
                <w:color w:val="FF0000"/>
                <w:sz w:val="28"/>
                <w:szCs w:val="28"/>
              </w:rPr>
            </w:pPr>
            <w:r>
              <w:rPr>
                <w:rFonts w:hint="eastAsia" w:ascii="楷体_GB2312" w:hAnsi="Times New Roman" w:eastAsia="楷体_GB2312"/>
                <w:b/>
                <w:color w:val="FF0000"/>
                <w:sz w:val="28"/>
                <w:szCs w:val="28"/>
              </w:rPr>
              <w:t>07.环岛旅游公路沙美内海段工程</w:t>
            </w:r>
          </w:p>
          <w:p>
            <w:pPr>
              <w:widowControl w:val="0"/>
              <w:spacing w:line="520" w:lineRule="exact"/>
              <w:ind w:firstLine="560" w:firstLineChars="200"/>
              <w:rPr>
                <w:rFonts w:ascii="仿宋" w:hAnsi="仿宋" w:eastAsia="仿宋" w:cs="仿宋"/>
                <w:color w:val="FF0000"/>
                <w:sz w:val="28"/>
                <w:szCs w:val="28"/>
              </w:rPr>
            </w:pPr>
            <w:r>
              <w:rPr>
                <w:rFonts w:hint="eastAsia" w:ascii="仿宋_GB2312" w:hAnsi="仿宋_GB2312" w:eastAsia="仿宋_GB2312" w:cs="仿宋_GB2312"/>
                <w:color w:val="FF0000"/>
                <w:sz w:val="28"/>
                <w:szCs w:val="28"/>
              </w:rPr>
              <w:t>建设一条环岛旅游公路，将迎宾路和沙美内海旅游公路连接起来。</w:t>
            </w:r>
          </w:p>
        </w:tc>
      </w:tr>
    </w:tbl>
    <w:p>
      <w:pPr>
        <w:pStyle w:val="9"/>
        <w:widowControl w:val="0"/>
        <w:spacing w:line="600" w:lineRule="exact"/>
        <w:outlineLvl w:val="1"/>
        <w:rPr>
          <w:rFonts w:ascii="楷体" w:hAnsi="楷体" w:eastAsia="楷体" w:cs="楷体"/>
          <w:color w:val="FF0000"/>
        </w:rPr>
      </w:pPr>
      <w:bookmarkStart w:id="216" w:name="_Toc15085"/>
      <w:bookmarkStart w:id="217" w:name="_Toc17707"/>
      <w:bookmarkStart w:id="218" w:name="_Toc15097"/>
      <w:bookmarkStart w:id="219" w:name="_Toc4822"/>
      <w:bookmarkStart w:id="220" w:name="_Toc965"/>
      <w:bookmarkStart w:id="221" w:name="_Toc6752"/>
      <w:bookmarkStart w:id="222" w:name="_Toc9933"/>
      <w:bookmarkStart w:id="223" w:name="_Toc7992"/>
      <w:bookmarkStart w:id="224" w:name="_Toc20857"/>
      <w:bookmarkStart w:id="225" w:name="_Toc56346949"/>
      <w:r>
        <w:rPr>
          <w:rFonts w:hint="eastAsia" w:ascii="楷体" w:hAnsi="楷体" w:eastAsia="楷体" w:cs="楷体"/>
          <w:color w:val="FF0000"/>
        </w:rPr>
        <w:t>第三节</w:t>
      </w:r>
      <w:r>
        <w:rPr>
          <w:rFonts w:ascii="楷体" w:hAnsi="楷体" w:eastAsia="楷体" w:cs="楷体"/>
          <w:color w:val="FF0000"/>
        </w:rPr>
        <w:t xml:space="preserve">  </w:t>
      </w:r>
      <w:r>
        <w:rPr>
          <w:rFonts w:hint="eastAsia" w:ascii="楷体" w:hAnsi="楷体" w:eastAsia="楷体" w:cs="楷体"/>
          <w:color w:val="FF0000"/>
        </w:rPr>
        <w:t>深入推进国家农业对外开放合作试验区建设</w:t>
      </w:r>
      <w:bookmarkEnd w:id="216"/>
      <w:bookmarkEnd w:id="217"/>
      <w:bookmarkEnd w:id="218"/>
      <w:bookmarkEnd w:id="219"/>
      <w:bookmarkEnd w:id="220"/>
      <w:bookmarkEnd w:id="221"/>
      <w:bookmarkEnd w:id="222"/>
      <w:bookmarkEnd w:id="223"/>
      <w:bookmarkEnd w:id="224"/>
    </w:p>
    <w:p>
      <w:pPr>
        <w:widowControl w:val="0"/>
        <w:spacing w:line="600" w:lineRule="exact"/>
        <w:ind w:firstLine="624" w:firstLineChars="195"/>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对标自贸港建设需求，将试验区建设成为全国农业主场外交平台、农业对外开放合作的宣传窗口、国际农产品交易中心和农业对外投资支撑基地。</w:t>
      </w:r>
    </w:p>
    <w:p>
      <w:pPr>
        <w:widowControl w:val="0"/>
        <w:spacing w:line="600" w:lineRule="exact"/>
        <w:ind w:firstLine="626" w:firstLineChars="195"/>
        <w:rPr>
          <w:rFonts w:ascii="仿宋_GB2312" w:hAnsi="仿宋_GB2312" w:eastAsia="仿宋_GB2312" w:cs="仿宋_GB2312"/>
          <w:color w:val="FF0000"/>
          <w:sz w:val="32"/>
          <w:szCs w:val="32"/>
        </w:rPr>
      </w:pPr>
      <w:r>
        <w:rPr>
          <w:rFonts w:hint="eastAsia" w:ascii="楷体" w:hAnsi="楷体" w:eastAsia="楷体" w:cs="楷体"/>
          <w:b/>
          <w:color w:val="FF0000"/>
          <w:sz w:val="32"/>
          <w:szCs w:val="32"/>
        </w:rPr>
        <w:t>建设农业对外开放合作基地。</w:t>
      </w:r>
      <w:r>
        <w:rPr>
          <w:rFonts w:hint="eastAsia" w:ascii="仿宋_GB2312" w:hAnsi="仿宋_GB2312" w:eastAsia="仿宋_GB2312" w:cs="仿宋_GB2312"/>
          <w:color w:val="FF0000"/>
          <w:sz w:val="32"/>
          <w:szCs w:val="32"/>
        </w:rPr>
        <w:t>瞄准国内外高端市场，引进先进育种技术、优新品种，采用国际良好农业示范标准和先进的管理模式，高质量高标准建设特色种养基地。以进口东南亚国家和“两区”内的热带初级农产品的初加工和精深加工为主，建立无污染的农产品出口出岛加工及农产品即刻冷链物流基地。</w:t>
      </w:r>
    </w:p>
    <w:p>
      <w:pPr>
        <w:widowControl w:val="0"/>
        <w:spacing w:line="600" w:lineRule="exact"/>
        <w:ind w:firstLine="626" w:firstLineChars="195"/>
        <w:rPr>
          <w:rFonts w:ascii="仿宋_GB2312" w:hAnsi="仿宋_GB2312" w:eastAsia="仿宋_GB2312" w:cs="仿宋_GB2312"/>
          <w:b/>
          <w:color w:val="FF0000"/>
          <w:sz w:val="32"/>
          <w:szCs w:val="32"/>
        </w:rPr>
      </w:pPr>
      <w:r>
        <w:rPr>
          <w:rFonts w:hint="eastAsia" w:ascii="楷体" w:hAnsi="楷体" w:eastAsia="楷体" w:cs="楷体"/>
          <w:b/>
          <w:color w:val="FF0000"/>
          <w:sz w:val="32"/>
          <w:szCs w:val="32"/>
        </w:rPr>
        <w:t>丰富农业对外开放合作内容。</w:t>
      </w:r>
      <w:r>
        <w:rPr>
          <w:rFonts w:hint="eastAsia" w:ascii="仿宋_GB2312" w:hAnsi="仿宋_GB2312" w:eastAsia="仿宋_GB2312" w:cs="仿宋_GB2312"/>
          <w:color w:val="FF0000"/>
          <w:sz w:val="32"/>
          <w:szCs w:val="32"/>
        </w:rPr>
        <w:t>引进境外热带水果、热带经济作物等品种种质资源，重点将大路“世界热带水果之窗”建设成为全球热带水果种质资源引进中心、全球热带水果贸易中心和全球热带水果对外交流合作中心。引进境外先进农业废弃物综合利用技术，将农业废弃物转换成生物天然气，打造全省循环农业的标杆。对标境外先进经验和模式，发展创意农业和精品农业。联合农业科研院所建立国际农业培训基地。</w:t>
      </w:r>
    </w:p>
    <w:p>
      <w:pPr>
        <w:widowControl w:val="0"/>
        <w:spacing w:line="600" w:lineRule="exact"/>
        <w:ind w:firstLine="626" w:firstLineChars="195"/>
        <w:rPr>
          <w:rFonts w:ascii="仿宋_GB2312" w:hAnsi="仿宋_GB2312" w:eastAsia="仿宋_GB2312" w:cs="仿宋_GB2312"/>
          <w:color w:val="FF0000"/>
          <w:sz w:val="32"/>
          <w:szCs w:val="32"/>
        </w:rPr>
      </w:pPr>
      <w:r>
        <w:rPr>
          <w:rFonts w:hint="eastAsia" w:ascii="楷体" w:hAnsi="楷体" w:eastAsia="楷体" w:cs="楷体"/>
          <w:b/>
          <w:color w:val="FF0000"/>
          <w:sz w:val="32"/>
          <w:szCs w:val="32"/>
        </w:rPr>
        <w:t>拓展农业对外开放合作方式。</w:t>
      </w:r>
      <w:r>
        <w:rPr>
          <w:rFonts w:hint="eastAsia" w:ascii="仿宋_GB2312" w:hAnsi="仿宋_GB2312" w:eastAsia="仿宋_GB2312" w:cs="仿宋_GB2312"/>
          <w:color w:val="FF0000"/>
          <w:sz w:val="32"/>
          <w:szCs w:val="32"/>
        </w:rPr>
        <w:t>通过举办博鳌亚洲论坛农业分论坛、中非农业合作研讨会等国际农业会议，促进对外交流和贸易合作。优化升级博鳌国家农业公园、沙美生态农业示范区、龙寿洋国家农业公园、北仍村等配套设施，建设休闲农业外交基地，打造美丽乡村会客厅。发展跨境高端电子商务，建立琼海跨境生产和消费、物流仓储、市场营销等全链条体系。</w:t>
      </w:r>
    </w:p>
    <w:p>
      <w:pPr>
        <w:widowControl w:val="0"/>
        <w:spacing w:line="600" w:lineRule="exact"/>
        <w:ind w:firstLine="626" w:firstLineChars="195"/>
        <w:rPr>
          <w:rFonts w:ascii="仿宋_GB2312" w:hAnsi="仿宋_GB2312" w:eastAsia="仿宋_GB2312" w:cs="仿宋_GB2312"/>
          <w:color w:val="FF0000"/>
          <w:sz w:val="32"/>
          <w:szCs w:val="32"/>
        </w:rPr>
      </w:pPr>
      <w:r>
        <w:rPr>
          <w:rFonts w:hint="eastAsia" w:ascii="楷体" w:hAnsi="楷体" w:eastAsia="楷体" w:cs="楷体"/>
          <w:b/>
          <w:color w:val="FF0000"/>
          <w:sz w:val="32"/>
          <w:szCs w:val="32"/>
        </w:rPr>
        <w:t>培育农业对外开放合作主体。</w:t>
      </w:r>
      <w:r>
        <w:rPr>
          <w:rFonts w:hint="eastAsia" w:ascii="仿宋_GB2312" w:hAnsi="仿宋_GB2312" w:eastAsia="仿宋_GB2312" w:cs="仿宋_GB2312"/>
          <w:color w:val="FF0000"/>
          <w:sz w:val="32"/>
          <w:szCs w:val="32"/>
        </w:rPr>
        <w:t>建设热带农业外向型企业孵化中心，为外向型企业进驻提供创业投资、房租、贷款贴息等政策扶持。支持培育具有国际竞争力的现代农业企业集团赴东南亚、非洲开展热带作物生产和深加工、农业机械、水产养殖领域的投资合作。推进农业农村部国际交流合作项目、粮农组织项目。</w:t>
      </w:r>
    </w:p>
    <w:p>
      <w:pPr>
        <w:pStyle w:val="10"/>
        <w:widowControl w:val="0"/>
        <w:rPr>
          <w:color w:val="FF0000"/>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pPr>
              <w:pStyle w:val="15"/>
              <w:widowControl w:val="0"/>
              <w:jc w:val="center"/>
              <w:rPr>
                <w:rFonts w:eastAsia="黑体"/>
                <w:color w:val="FF0000"/>
              </w:rPr>
            </w:pPr>
            <w:r>
              <w:rPr>
                <w:rFonts w:hint="eastAsia" w:ascii="黑体" w:hAnsi="黑体" w:eastAsia="黑体" w:cs="黑体"/>
                <w:b/>
                <w:color w:val="FF0000"/>
                <w:sz w:val="28"/>
                <w:szCs w:val="28"/>
              </w:rPr>
              <w:t>专栏</w:t>
            </w:r>
            <w:r>
              <w:rPr>
                <w:rFonts w:ascii="黑体" w:hAnsi="黑体" w:eastAsia="黑体" w:cs="黑体"/>
                <w:b/>
                <w:color w:val="FF0000"/>
                <w:sz w:val="28"/>
                <w:szCs w:val="28"/>
              </w:rPr>
              <w:t>7</w:t>
            </w:r>
            <w:r>
              <w:rPr>
                <w:rFonts w:hint="eastAsia" w:ascii="黑体" w:hAnsi="黑体" w:eastAsia="黑体" w:cs="黑体"/>
                <w:b/>
                <w:color w:val="FF0000"/>
                <w:sz w:val="28"/>
                <w:szCs w:val="28"/>
              </w:rPr>
              <w:t>：“十四五”琼海农业对外开放合作试验区重点工程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pPr>
              <w:widowControl w:val="0"/>
              <w:spacing w:line="520" w:lineRule="exact"/>
              <w:ind w:firstLine="548" w:firstLineChars="195"/>
              <w:rPr>
                <w:rFonts w:ascii="仿宋" w:hAnsi="仿宋" w:eastAsia="楷体_GB2312" w:cs="仿宋"/>
                <w:color w:val="FF0000"/>
                <w:sz w:val="28"/>
                <w:szCs w:val="28"/>
              </w:rPr>
            </w:pPr>
            <w:r>
              <w:rPr>
                <w:rFonts w:ascii="楷体_GB2312" w:hAnsi="楷体_GB2312" w:eastAsia="楷体_GB2312" w:cs="楷体_GB2312"/>
                <w:b/>
                <w:color w:val="FF0000"/>
                <w:sz w:val="28"/>
                <w:szCs w:val="28"/>
              </w:rPr>
              <w:t>01.琼海世界热带水果之窗</w:t>
            </w:r>
          </w:p>
          <w:p>
            <w:pPr>
              <w:widowControl w:val="0"/>
              <w:spacing w:line="520" w:lineRule="exact"/>
              <w:ind w:firstLine="546" w:firstLineChars="195"/>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推进世界热带水果之窗建设，包括新品种培育区和隔离场、国际种业培育区新品种产业化示范种植区、高端水果深加工、世界热带水果之窗文化馆（农业对外交流合作中心）世界热带水果研究院、世界名优花果博览区。</w:t>
            </w:r>
          </w:p>
          <w:p>
            <w:pPr>
              <w:widowControl w:val="0"/>
              <w:spacing w:line="520" w:lineRule="exact"/>
              <w:ind w:firstLine="548" w:firstLineChars="195"/>
              <w:rPr>
                <w:rFonts w:ascii="楷体_GB2312" w:hAnsi="楷体_GB2312" w:eastAsia="楷体_GB2312" w:cs="楷体_GB2312"/>
                <w:b/>
                <w:color w:val="FF0000"/>
                <w:sz w:val="28"/>
                <w:szCs w:val="28"/>
              </w:rPr>
            </w:pPr>
            <w:r>
              <w:rPr>
                <w:rFonts w:ascii="楷体_GB2312" w:hAnsi="楷体_GB2312" w:eastAsia="楷体_GB2312" w:cs="楷体_GB2312"/>
                <w:b/>
                <w:color w:val="FF0000"/>
                <w:sz w:val="28"/>
                <w:szCs w:val="28"/>
              </w:rPr>
              <w:t>02.世界热带水果优新稀品种引进和示范基地</w:t>
            </w:r>
          </w:p>
          <w:p>
            <w:pPr>
              <w:widowControl w:val="0"/>
              <w:spacing w:line="520" w:lineRule="exact"/>
              <w:ind w:firstLine="546" w:firstLineChars="195"/>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依托大路镇世界热带水果优良品种引进与示范基地，引进中北美洲、南美洲、东南亚、非洲、南太平洋岛国等地热带优新稀水果品质资源，打造界热带水果优新稀品种引进和示范基地。</w:t>
            </w:r>
          </w:p>
          <w:p>
            <w:pPr>
              <w:widowControl w:val="0"/>
              <w:spacing w:line="520" w:lineRule="exact"/>
              <w:ind w:firstLine="548" w:firstLineChars="195"/>
              <w:rPr>
                <w:rFonts w:ascii="楷体_GB2312" w:hAnsi="楷体_GB2312" w:eastAsia="楷体_GB2312" w:cs="楷体_GB2312"/>
                <w:b/>
                <w:color w:val="FF0000"/>
                <w:sz w:val="28"/>
                <w:szCs w:val="28"/>
              </w:rPr>
            </w:pPr>
            <w:r>
              <w:rPr>
                <w:rFonts w:ascii="楷体_GB2312" w:hAnsi="楷体_GB2312" w:eastAsia="楷体_GB2312" w:cs="楷体_GB2312"/>
                <w:b/>
                <w:color w:val="FF0000"/>
                <w:sz w:val="28"/>
                <w:szCs w:val="28"/>
              </w:rPr>
              <w:t>03.世界热带香辛饮料种质资源引进和示范基地群</w:t>
            </w:r>
          </w:p>
          <w:p>
            <w:pPr>
              <w:widowControl w:val="0"/>
              <w:spacing w:line="520" w:lineRule="exact"/>
              <w:ind w:firstLine="546" w:firstLineChars="195"/>
              <w:rPr>
                <w:color w:val="FF0000"/>
              </w:rPr>
            </w:pPr>
            <w:r>
              <w:rPr>
                <w:rFonts w:hint="eastAsia" w:ascii="仿宋_GB2312" w:hAnsi="仿宋_GB2312" w:eastAsia="仿宋_GB2312" w:cs="仿宋_GB2312"/>
                <w:color w:val="FF0000"/>
                <w:sz w:val="28"/>
                <w:szCs w:val="28"/>
              </w:rPr>
              <w:t>联合中国热带农业科学院热带农业对外合作试验区，建设香辛饮料（斑斓、香草兰、胡椒、咖啡、可可）种质资源引进基地、香辛饮料高质高效示范和科普基地、香辛饮料科技成果转移中心、香辛饮料农产品初加工及精加工示范基地、香辛饮料产业融合发展示范基地等。</w:t>
            </w:r>
          </w:p>
        </w:tc>
      </w:tr>
    </w:tbl>
    <w:p>
      <w:pPr>
        <w:pStyle w:val="9"/>
        <w:widowControl w:val="0"/>
        <w:spacing w:line="580" w:lineRule="exact"/>
        <w:outlineLvl w:val="1"/>
        <w:rPr>
          <w:rFonts w:ascii="楷体" w:hAnsi="楷体" w:eastAsia="楷体" w:cs="楷体"/>
          <w:color w:val="FF0000"/>
        </w:rPr>
      </w:pPr>
      <w:bookmarkStart w:id="226" w:name="_Toc27612"/>
      <w:bookmarkStart w:id="227" w:name="_Toc1405"/>
      <w:bookmarkStart w:id="228" w:name="_Toc3902"/>
      <w:bookmarkStart w:id="229" w:name="_Toc23494"/>
      <w:bookmarkStart w:id="230" w:name="_Toc15975"/>
      <w:bookmarkStart w:id="231" w:name="_Toc29205"/>
      <w:bookmarkStart w:id="232" w:name="_Toc60"/>
      <w:bookmarkStart w:id="233" w:name="_Toc26065"/>
      <w:bookmarkStart w:id="234" w:name="_Toc15430"/>
    </w:p>
    <w:p>
      <w:pPr>
        <w:pStyle w:val="9"/>
        <w:widowControl w:val="0"/>
        <w:spacing w:line="580" w:lineRule="exact"/>
        <w:outlineLvl w:val="1"/>
        <w:rPr>
          <w:rFonts w:ascii="楷体" w:hAnsi="楷体" w:eastAsia="楷体" w:cs="楷体"/>
          <w:color w:val="FF0000"/>
        </w:rPr>
      </w:pPr>
      <w:r>
        <w:rPr>
          <w:rFonts w:hint="eastAsia" w:ascii="楷体" w:hAnsi="楷体" w:eastAsia="楷体" w:cs="楷体"/>
          <w:color w:val="FF0000"/>
        </w:rPr>
        <w:t>第四节</w:t>
      </w:r>
      <w:r>
        <w:rPr>
          <w:rFonts w:ascii="楷体" w:hAnsi="楷体" w:eastAsia="楷体" w:cs="楷体"/>
          <w:color w:val="FF0000"/>
        </w:rPr>
        <w:t xml:space="preserve">  </w:t>
      </w:r>
      <w:r>
        <w:rPr>
          <w:rFonts w:hint="eastAsia" w:ascii="楷体" w:hAnsi="楷体" w:eastAsia="楷体" w:cs="楷体"/>
          <w:color w:val="FF0000"/>
        </w:rPr>
        <w:t>推动博鳌临空经济区</w:t>
      </w:r>
      <w:bookmarkEnd w:id="225"/>
      <w:r>
        <w:rPr>
          <w:rFonts w:hint="eastAsia" w:ascii="楷体" w:hAnsi="楷体" w:eastAsia="楷体" w:cs="楷体"/>
          <w:color w:val="FF0000"/>
        </w:rPr>
        <w:t>建设</w:t>
      </w:r>
      <w:bookmarkEnd w:id="226"/>
      <w:bookmarkEnd w:id="227"/>
      <w:bookmarkEnd w:id="228"/>
      <w:bookmarkEnd w:id="229"/>
      <w:bookmarkEnd w:id="230"/>
      <w:bookmarkEnd w:id="231"/>
      <w:bookmarkEnd w:id="232"/>
      <w:bookmarkEnd w:id="233"/>
      <w:bookmarkEnd w:id="234"/>
    </w:p>
    <w:p>
      <w:pPr>
        <w:widowControl w:val="0"/>
        <w:spacing w:line="580" w:lineRule="exact"/>
        <w:ind w:firstLine="594" w:firstLineChars="193"/>
        <w:rPr>
          <w:rFonts w:ascii="仿宋_GB2312" w:hAnsi="仿宋_GB2312" w:eastAsia="仿宋_GB2312" w:cs="仿宋_GB2312"/>
          <w:color w:val="FF0000"/>
          <w:spacing w:val="-6"/>
          <w:sz w:val="32"/>
          <w:szCs w:val="32"/>
        </w:rPr>
      </w:pPr>
      <w:r>
        <w:rPr>
          <w:rFonts w:hint="eastAsia" w:ascii="仿宋_GB2312" w:hAnsi="仿宋_GB2312" w:eastAsia="仿宋_GB2312" w:cs="仿宋_GB2312"/>
          <w:color w:val="FF0000"/>
          <w:spacing w:val="-6"/>
          <w:sz w:val="32"/>
          <w:szCs w:val="32"/>
        </w:rPr>
        <w:t>把握博鳌机场升级为国际机场契机，发挥国际航空枢纽带动作用，吸引高端产业要素集聚，以航空货运、航空客运、通用航空为主导，融合发展医疗器械制造、医疗健康服务、会议会展、跨境电商等产业，打造以航空主导产业为驱动、区域特色产业为支撑的临空产业体系，与美兰、凤凰两大机场形成差异化发展，将其打造成海南省航空货运枢纽和通用航空产业综合示范基地。</w:t>
      </w:r>
    </w:p>
    <w:p>
      <w:pPr>
        <w:widowControl w:val="0"/>
        <w:spacing w:line="560" w:lineRule="exact"/>
        <w:ind w:firstLine="620" w:firstLineChars="193"/>
        <w:rPr>
          <w:rFonts w:ascii="仿宋_GB2312" w:hAnsi="仿宋_GB2312" w:eastAsia="仿宋_GB2312" w:cs="仿宋_GB2312"/>
          <w:color w:val="FF0000"/>
          <w:sz w:val="32"/>
          <w:szCs w:val="32"/>
        </w:rPr>
      </w:pPr>
      <w:r>
        <w:rPr>
          <w:rFonts w:hint="eastAsia" w:ascii="楷体" w:hAnsi="楷体" w:eastAsia="楷体" w:cs="楷体"/>
          <w:b/>
          <w:color w:val="FF0000"/>
          <w:sz w:val="32"/>
          <w:szCs w:val="32"/>
        </w:rPr>
        <w:t>培育发展航空货运业。</w:t>
      </w:r>
      <w:r>
        <w:rPr>
          <w:rFonts w:hint="eastAsia" w:ascii="仿宋_GB2312" w:hAnsi="仿宋_GB2312" w:eastAsia="仿宋_GB2312" w:cs="仿宋_GB2312"/>
          <w:color w:val="FF0000"/>
          <w:sz w:val="32"/>
          <w:szCs w:val="32"/>
        </w:rPr>
        <w:t>打造海南东部及中部航空货物集散中心、快递物流企业在东南亚地区的航空货物集散地和以高端农产品、医疗器械、进口商品为主的国际航空货运枢纽，争取到</w:t>
      </w:r>
      <w:r>
        <w:rPr>
          <w:rFonts w:ascii="仿宋_GB2312" w:hAnsi="仿宋_GB2312" w:eastAsia="仿宋_GB2312" w:cs="仿宋_GB2312"/>
          <w:color w:val="FF0000"/>
          <w:sz w:val="32"/>
          <w:szCs w:val="32"/>
        </w:rPr>
        <w:t xml:space="preserve"> 2025年机场货邮吞吐量达到 10万吨。</w:t>
      </w:r>
      <w:r>
        <w:rPr>
          <w:rFonts w:hint="eastAsia" w:ascii="仿宋_GB2312" w:hAnsi="仿宋_GB2312" w:eastAsia="仿宋_GB2312" w:cs="仿宋_GB2312"/>
          <w:color w:val="FF0000"/>
          <w:sz w:val="32"/>
          <w:szCs w:val="32"/>
        </w:rPr>
        <w:t>围绕博鳌机场</w:t>
      </w:r>
      <w:r>
        <w:rPr>
          <w:rFonts w:ascii="仿宋_GB2312" w:hAnsi="仿宋_GB2312" w:eastAsia="仿宋_GB2312" w:cs="仿宋_GB2312"/>
          <w:color w:val="FF0000"/>
          <w:sz w:val="32"/>
          <w:szCs w:val="32"/>
        </w:rPr>
        <w:t>构建“铁公机”一体化的现代综合运输体系，</w:t>
      </w:r>
      <w:r>
        <w:rPr>
          <w:rFonts w:hint="eastAsia" w:ascii="仿宋_GB2312" w:hAnsi="仿宋_GB2312" w:eastAsia="仿宋_GB2312" w:cs="仿宋_GB2312"/>
          <w:color w:val="FF0000"/>
          <w:sz w:val="32"/>
          <w:szCs w:val="32"/>
        </w:rPr>
        <w:t>提高机场集疏运效率，扩大货运辐射范围。优化航空货物种类，提升航空货运品质，发展高精尖高附加值产品、生鲜冷链和药品、医疗器械等特色物流，</w:t>
      </w:r>
      <w:r>
        <w:rPr>
          <w:rFonts w:ascii="仿宋_GB2312" w:hAnsi="仿宋_GB2312" w:eastAsia="仿宋_GB2312" w:cs="仿宋_GB2312"/>
          <w:color w:val="FF0000"/>
          <w:sz w:val="32"/>
          <w:szCs w:val="32"/>
        </w:rPr>
        <w:t>建设集多项功能于一体的航空物流园。</w:t>
      </w:r>
      <w:r>
        <w:rPr>
          <w:rFonts w:hint="eastAsia" w:ascii="仿宋_GB2312" w:hAnsi="仿宋_GB2312" w:eastAsia="仿宋_GB2312" w:cs="仿宋_GB2312"/>
          <w:color w:val="FF0000"/>
          <w:sz w:val="32"/>
          <w:szCs w:val="32"/>
        </w:rPr>
        <w:t>积极引入国内外大型物流企业入驻，合作开发国内外市场。加大政策支持力度，培育开通博鳌至深圳、北京等地全货机航线，推进开通博鳌至泰国、越南、印尼等东南亚国家的全货机航线。</w:t>
      </w:r>
    </w:p>
    <w:p>
      <w:pPr>
        <w:widowControl w:val="0"/>
        <w:spacing w:line="560" w:lineRule="exact"/>
        <w:ind w:firstLine="620" w:firstLineChars="193"/>
        <w:rPr>
          <w:rFonts w:ascii="仿宋_GB2312" w:hAnsi="仿宋_GB2312" w:eastAsia="仿宋_GB2312" w:cs="仿宋_GB2312"/>
          <w:color w:val="FF0000"/>
          <w:sz w:val="32"/>
          <w:szCs w:val="32"/>
        </w:rPr>
      </w:pPr>
      <w:r>
        <w:rPr>
          <w:rFonts w:hint="eastAsia" w:ascii="楷体" w:hAnsi="楷体" w:eastAsia="楷体" w:cs="楷体"/>
          <w:b/>
          <w:color w:val="FF0000"/>
          <w:sz w:val="32"/>
          <w:szCs w:val="32"/>
        </w:rPr>
        <w:t>积极发展航空客运业。</w:t>
      </w:r>
      <w:r>
        <w:rPr>
          <w:rFonts w:hint="eastAsia" w:ascii="仿宋_GB2312" w:hAnsi="仿宋_GB2312" w:eastAsia="仿宋_GB2312" w:cs="仿宋_GB2312"/>
          <w:color w:val="FF0000"/>
          <w:sz w:val="32"/>
          <w:szCs w:val="32"/>
        </w:rPr>
        <w:t>以保障、服务博鳌亚洲论坛会议期间国内外政要专机和公务机为基本职责，多措并举吸引客源，兼为海南全省旅游、公商务活动提供航空保障，努力成为海南会议会展经济的龙头机场，力争</w:t>
      </w:r>
      <w:r>
        <w:rPr>
          <w:rFonts w:ascii="仿宋_GB2312" w:hAnsi="仿宋_GB2312" w:eastAsia="仿宋_GB2312" w:cs="仿宋_GB2312"/>
          <w:color w:val="FF0000"/>
          <w:sz w:val="32"/>
          <w:szCs w:val="32"/>
        </w:rPr>
        <w:t>2025年旅客吞吐量突破100万人次，国际旅客吞吐量突破5万人次。大力开发国内、国际航线，</w:t>
      </w:r>
      <w:r>
        <w:rPr>
          <w:rFonts w:hint="eastAsia" w:ascii="仿宋_GB2312" w:hAnsi="仿宋_GB2312" w:eastAsia="仿宋_GB2312" w:cs="仿宋_GB2312"/>
          <w:color w:val="FF0000"/>
          <w:sz w:val="32"/>
          <w:szCs w:val="32"/>
        </w:rPr>
        <w:t>加强与航食、航空维修等企业合作，</w:t>
      </w:r>
      <w:r>
        <w:rPr>
          <w:rFonts w:ascii="仿宋_GB2312" w:hAnsi="仿宋_GB2312" w:eastAsia="仿宋_GB2312" w:cs="仿宋_GB2312"/>
          <w:color w:val="FF0000"/>
          <w:sz w:val="32"/>
          <w:szCs w:val="32"/>
        </w:rPr>
        <w:t>提升机场过夜飞机综合服务保障能力。</w:t>
      </w:r>
      <w:r>
        <w:rPr>
          <w:rFonts w:hint="eastAsia" w:ascii="仿宋_GB2312" w:hAnsi="仿宋_GB2312" w:eastAsia="仿宋_GB2312" w:cs="仿宋_GB2312"/>
          <w:color w:val="FF0000"/>
          <w:sz w:val="32"/>
          <w:szCs w:val="32"/>
        </w:rPr>
        <w:t>推进博鳌机场与博鳌动车站无缝衔接，增强博鳌机场往来琼海市区以及周边市县的交通便利性，培养旅客从博鳌机场进出海南岛的出行习惯。积极开发国内、国际航线，开通国内二、三线城市航线，不断增加一线重点城市航线，覆盖更多经济圈核心城市。</w:t>
      </w:r>
    </w:p>
    <w:p>
      <w:pPr>
        <w:widowControl w:val="0"/>
        <w:spacing w:line="580" w:lineRule="exact"/>
        <w:ind w:firstLine="620" w:firstLineChars="193"/>
        <w:rPr>
          <w:rFonts w:ascii="仿宋_GB2312" w:hAnsi="仿宋_GB2312" w:eastAsia="仿宋_GB2312" w:cs="仿宋_GB2312"/>
          <w:color w:val="FF0000"/>
          <w:sz w:val="32"/>
          <w:szCs w:val="32"/>
        </w:rPr>
      </w:pPr>
      <w:r>
        <w:rPr>
          <w:rFonts w:hint="eastAsia" w:ascii="楷体" w:hAnsi="楷体" w:eastAsia="楷体" w:cs="楷体"/>
          <w:b/>
          <w:color w:val="FF0000"/>
          <w:sz w:val="32"/>
          <w:szCs w:val="32"/>
        </w:rPr>
        <w:t>拓展通用航空业务。</w:t>
      </w:r>
      <w:r>
        <w:rPr>
          <w:rFonts w:hint="eastAsia" w:ascii="仿宋_GB2312" w:hAnsi="仿宋_GB2312" w:eastAsia="仿宋_GB2312" w:cs="仿宋_GB2312"/>
          <w:color w:val="FF0000"/>
          <w:sz w:val="32"/>
          <w:szCs w:val="32"/>
        </w:rPr>
        <w:t>培育引进优质通航服务运营商</w:t>
      </w:r>
      <w:r>
        <w:rPr>
          <w:rFonts w:ascii="仿宋_GB2312" w:hAnsi="仿宋_GB2312" w:eastAsia="仿宋_GB2312" w:cs="仿宋_GB2312"/>
          <w:color w:val="FF0000"/>
          <w:sz w:val="32"/>
          <w:szCs w:val="32"/>
        </w:rPr>
        <w:t>，为各国首脑政要、商界精英等提供公务机运营保障服务。建立直升机服务中心，构建覆盖全岛的直升机航线网络，</w:t>
      </w:r>
      <w:r>
        <w:rPr>
          <w:rFonts w:hint="eastAsia" w:ascii="仿宋_GB2312" w:hAnsi="仿宋_GB2312" w:eastAsia="仿宋_GB2312" w:cs="仿宋_GB2312"/>
          <w:color w:val="FF0000"/>
          <w:sz w:val="32"/>
          <w:szCs w:val="32"/>
        </w:rPr>
        <w:t>提供工农业作业飞行及公共服务类飞行服务，大力开展空中游览、通勤摆渡、会展服务等通航旅游消费类飞行服务。开发运动飞机、热气球、滑翔、飞机跳伞、轻小型无人驾驶航空器、航空模型等运动项目。组织开展基本驾驶技能、飞行作业、自选项目等内容组成的通用航空职业技能大赛和无人驾驶航空器职业技能大赛。培育多元化航空运动市场主体。</w:t>
      </w:r>
    </w:p>
    <w:p>
      <w:pPr>
        <w:widowControl w:val="0"/>
        <w:spacing w:line="580" w:lineRule="exact"/>
        <w:ind w:firstLine="620" w:firstLineChars="193"/>
        <w:rPr>
          <w:rFonts w:ascii="仿宋_GB2312" w:hAnsi="仿宋_GB2312" w:eastAsia="仿宋_GB2312" w:cs="仿宋_GB2312"/>
          <w:color w:val="FF0000"/>
        </w:rPr>
      </w:pPr>
      <w:r>
        <w:rPr>
          <w:rFonts w:hint="eastAsia" w:ascii="楷体" w:hAnsi="楷体" w:eastAsia="楷体" w:cs="楷体"/>
          <w:b/>
          <w:bCs/>
          <w:color w:val="FF0000"/>
          <w:sz w:val="32"/>
          <w:szCs w:val="32"/>
        </w:rPr>
        <w:t>融合区域特色产业。</w:t>
      </w:r>
      <w:r>
        <w:rPr>
          <w:rFonts w:hint="eastAsia" w:ascii="仿宋_GB2312" w:hAnsi="仿宋_GB2312" w:eastAsia="仿宋_GB2312" w:cs="仿宋_GB2312"/>
          <w:color w:val="FF0000"/>
          <w:sz w:val="32"/>
          <w:szCs w:val="32"/>
        </w:rPr>
        <w:t>借助博鳌乐城国际医疗旅游先行区和博鳌亚洲论坛的品牌效应，加大航空产业与医疗器械制造、医疗健康服务、会议会展、跨境电商融合发展，力争2025年实现50家上下游企业入驻，打造成为海南首屈一指的临空产业集群。</w:t>
      </w:r>
    </w:p>
    <w:tbl>
      <w:tblPr>
        <w:tblStyle w:val="1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288" w:type="dxa"/>
          </w:tcPr>
          <w:p>
            <w:pPr>
              <w:widowControl w:val="0"/>
              <w:spacing w:line="460" w:lineRule="exact"/>
              <w:jc w:val="center"/>
              <w:rPr>
                <w:rFonts w:ascii="Times New Roman" w:hAnsi="Times New Roman" w:eastAsia="黑体"/>
                <w:b/>
                <w:color w:val="FF0000"/>
                <w:sz w:val="28"/>
                <w:szCs w:val="28"/>
              </w:rPr>
            </w:pPr>
            <w:r>
              <w:rPr>
                <w:rFonts w:hint="eastAsia" w:ascii="黑体" w:hAnsi="黑体" w:eastAsia="黑体"/>
                <w:b/>
                <w:color w:val="FF0000"/>
                <w:sz w:val="28"/>
                <w:szCs w:val="28"/>
              </w:rPr>
              <w:t>专栏</w:t>
            </w:r>
            <w:r>
              <w:rPr>
                <w:rFonts w:ascii="黑体" w:hAnsi="黑体" w:eastAsia="黑体"/>
                <w:b/>
                <w:color w:val="FF0000"/>
                <w:sz w:val="28"/>
                <w:szCs w:val="28"/>
              </w:rPr>
              <w:t>8</w:t>
            </w:r>
            <w:r>
              <w:rPr>
                <w:rFonts w:hint="eastAsia" w:ascii="黑体" w:hAnsi="黑体" w:eastAsia="黑体"/>
                <w:b/>
                <w:color w:val="FF0000"/>
                <w:sz w:val="28"/>
                <w:szCs w:val="28"/>
              </w:rPr>
              <w:t>：“十四五”博鳌临空经济区重点工程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8" w:type="dxa"/>
          </w:tcPr>
          <w:p>
            <w:pPr>
              <w:widowControl w:val="0"/>
              <w:spacing w:line="520" w:lineRule="exact"/>
              <w:ind w:firstLine="542" w:firstLineChars="193"/>
              <w:rPr>
                <w:rFonts w:ascii="楷体_GB2312" w:hAnsi="Times New Roman" w:eastAsia="楷体_GB2312"/>
                <w:b/>
                <w:color w:val="FF0000"/>
                <w:sz w:val="28"/>
                <w:szCs w:val="28"/>
              </w:rPr>
            </w:pPr>
            <w:r>
              <w:rPr>
                <w:rFonts w:hint="eastAsia" w:ascii="楷体_GB2312" w:hAnsi="Times New Roman" w:eastAsia="楷体_GB2312"/>
                <w:b/>
                <w:color w:val="FF0000"/>
                <w:sz w:val="28"/>
                <w:szCs w:val="28"/>
              </w:rPr>
              <w:t>01.航空物流园</w:t>
            </w:r>
          </w:p>
          <w:p>
            <w:pPr>
              <w:widowControl w:val="0"/>
              <w:spacing w:line="520" w:lineRule="exact"/>
              <w:ind w:firstLine="546" w:firstLineChars="195"/>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建设货邮吞吐量 43 万吨/年的区域性航空物流集散基地，聚集发展仓储、运输、加工等航空物流产业，发展临空型高科技产品、鲜冷水产、时令鲜花、高档水果、苗木、酒店用品等特色产品物流。</w:t>
            </w:r>
          </w:p>
          <w:p>
            <w:pPr>
              <w:widowControl w:val="0"/>
              <w:spacing w:line="520" w:lineRule="exact"/>
              <w:ind w:firstLine="542" w:firstLineChars="193"/>
              <w:rPr>
                <w:rFonts w:ascii="楷体_GB2312" w:hAnsi="Times New Roman" w:eastAsia="楷体_GB2312"/>
                <w:b/>
                <w:color w:val="FF0000"/>
                <w:sz w:val="28"/>
                <w:szCs w:val="28"/>
              </w:rPr>
            </w:pPr>
            <w:r>
              <w:rPr>
                <w:rFonts w:hint="eastAsia" w:ascii="楷体_GB2312" w:hAnsi="Times New Roman" w:eastAsia="楷体_GB2312"/>
                <w:b/>
                <w:color w:val="FF0000"/>
                <w:sz w:val="28"/>
                <w:szCs w:val="28"/>
              </w:rPr>
              <w:t>02.博鳌机场扩建工程</w:t>
            </w:r>
          </w:p>
          <w:p>
            <w:pPr>
              <w:widowControl w:val="0"/>
              <w:spacing w:line="52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建设一座国际候机楼，8万平方米站坪并配备7个廊桥，建设海关办公大楼、业务技术大楼、备勤宿舍楼、综合楼、边检办公用房、业务技术用房、生活用房和配套土地等。</w:t>
            </w:r>
          </w:p>
          <w:p>
            <w:pPr>
              <w:widowControl w:val="0"/>
              <w:spacing w:line="520" w:lineRule="exact"/>
              <w:ind w:firstLine="542" w:firstLineChars="193"/>
              <w:rPr>
                <w:rFonts w:ascii="楷体_GB2312" w:hAnsi="Times New Roman" w:eastAsia="楷体_GB2312"/>
                <w:b/>
                <w:color w:val="FF0000"/>
                <w:sz w:val="28"/>
                <w:szCs w:val="28"/>
              </w:rPr>
            </w:pPr>
            <w:r>
              <w:rPr>
                <w:rFonts w:hint="eastAsia" w:ascii="楷体_GB2312" w:hAnsi="Times New Roman" w:eastAsia="楷体_GB2312"/>
                <w:b/>
                <w:color w:val="FF0000"/>
                <w:sz w:val="28"/>
                <w:szCs w:val="28"/>
              </w:rPr>
              <w:t>03.博鳌机场基础设施建设</w:t>
            </w:r>
          </w:p>
          <w:p>
            <w:pPr>
              <w:widowControl w:val="0"/>
              <w:spacing w:line="520" w:lineRule="exact"/>
              <w:ind w:firstLine="546" w:firstLineChars="195"/>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建设查验场所、查验机关技术用房以及配套的查验设施设备。</w:t>
            </w:r>
          </w:p>
          <w:p>
            <w:pPr>
              <w:widowControl w:val="0"/>
              <w:spacing w:line="520" w:lineRule="exact"/>
              <w:ind w:firstLine="548" w:firstLineChars="195"/>
              <w:rPr>
                <w:rFonts w:ascii="楷体_GB2312" w:hAnsi="Times New Roman" w:eastAsia="楷体_GB2312"/>
                <w:b/>
                <w:color w:val="FF0000"/>
                <w:sz w:val="28"/>
                <w:szCs w:val="28"/>
              </w:rPr>
            </w:pPr>
            <w:r>
              <w:rPr>
                <w:rFonts w:hint="eastAsia" w:ascii="楷体_GB2312" w:hAnsi="Times New Roman" w:eastAsia="楷体_GB2312"/>
                <w:b/>
                <w:color w:val="FF0000"/>
                <w:sz w:val="28"/>
                <w:szCs w:val="28"/>
              </w:rPr>
              <w:t>04.通用航空产业基地</w:t>
            </w:r>
          </w:p>
          <w:p>
            <w:pPr>
              <w:widowControl w:val="0"/>
              <w:spacing w:line="520" w:lineRule="exact"/>
              <w:ind w:firstLine="546" w:firstLineChars="195"/>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建设集物流中转、飞行培训、高空运动、飞机维修、航空俱乐部等多元素于一体的通用航空产业基地。</w:t>
            </w:r>
          </w:p>
          <w:p>
            <w:pPr>
              <w:widowControl w:val="0"/>
              <w:spacing w:line="520" w:lineRule="exact"/>
              <w:ind w:firstLine="548" w:firstLineChars="195"/>
              <w:rPr>
                <w:rFonts w:ascii="楷体_GB2312" w:hAnsi="Times New Roman" w:eastAsia="楷体_GB2312"/>
                <w:b/>
                <w:color w:val="FF0000"/>
                <w:sz w:val="28"/>
                <w:szCs w:val="28"/>
              </w:rPr>
            </w:pPr>
            <w:r>
              <w:rPr>
                <w:rFonts w:hint="eastAsia" w:ascii="楷体_GB2312" w:hAnsi="Times New Roman" w:eastAsia="楷体_GB2312"/>
                <w:b/>
                <w:color w:val="FF0000"/>
                <w:sz w:val="28"/>
                <w:szCs w:val="28"/>
              </w:rPr>
              <w:t>05.航空运动项目</w:t>
            </w:r>
          </w:p>
          <w:p>
            <w:pPr>
              <w:widowControl w:val="0"/>
              <w:spacing w:line="520" w:lineRule="exact"/>
              <w:ind w:firstLine="546" w:firstLineChars="195"/>
              <w:rPr>
                <w:rFonts w:ascii="仿宋" w:hAnsi="仿宋" w:eastAsia="仿宋"/>
                <w:color w:val="FF0000"/>
                <w:sz w:val="28"/>
                <w:szCs w:val="28"/>
              </w:rPr>
            </w:pPr>
            <w:r>
              <w:rPr>
                <w:rFonts w:hint="eastAsia" w:ascii="仿宋_GB2312" w:hAnsi="仿宋_GB2312" w:eastAsia="仿宋_GB2312" w:cs="仿宋_GB2312"/>
                <w:color w:val="FF0000"/>
                <w:sz w:val="28"/>
                <w:szCs w:val="28"/>
              </w:rPr>
              <w:t>依托博鳌机场，发展运动飞机、热气球、滑翔、飞机跳伞、轻小型无人驾驶航空器、航空模型等运动项目。组织开展基本驾驶技能、飞行作业、自选项目等内容组成的通用航空职业技能大赛和无人驾驶航空器职业技能大赛。</w:t>
            </w:r>
          </w:p>
        </w:tc>
      </w:tr>
    </w:tbl>
    <w:p>
      <w:pPr>
        <w:pStyle w:val="9"/>
        <w:widowControl w:val="0"/>
        <w:outlineLvl w:val="1"/>
        <w:rPr>
          <w:rFonts w:ascii="楷体" w:hAnsi="楷体" w:eastAsia="楷体" w:cs="楷体"/>
        </w:rPr>
      </w:pPr>
      <w:bookmarkStart w:id="235" w:name="_Toc56346950"/>
      <w:bookmarkStart w:id="236" w:name="_Toc26326"/>
      <w:bookmarkStart w:id="237" w:name="_Toc23381"/>
      <w:bookmarkStart w:id="238" w:name="_Toc14219"/>
      <w:bookmarkStart w:id="239" w:name="_Toc21614"/>
      <w:bookmarkStart w:id="240" w:name="_Toc7536"/>
      <w:bookmarkStart w:id="241" w:name="_Toc18217"/>
      <w:bookmarkStart w:id="242" w:name="_Toc18747"/>
      <w:bookmarkStart w:id="243" w:name="_Toc11894"/>
      <w:bookmarkStart w:id="244" w:name="_Toc20791"/>
      <w:bookmarkStart w:id="245" w:name="_Toc1683"/>
      <w:r>
        <w:rPr>
          <w:rFonts w:hint="eastAsia" w:ascii="楷体" w:hAnsi="楷体" w:eastAsia="楷体" w:cs="楷体"/>
        </w:rPr>
        <w:t>第五节</w:t>
      </w:r>
      <w:r>
        <w:rPr>
          <w:rFonts w:ascii="楷体" w:hAnsi="楷体" w:eastAsia="楷体" w:cs="楷体"/>
        </w:rPr>
        <w:t xml:space="preserve">  </w:t>
      </w:r>
      <w:r>
        <w:rPr>
          <w:rFonts w:hint="eastAsia" w:ascii="楷体" w:hAnsi="楷体" w:eastAsia="楷体" w:cs="楷体"/>
        </w:rPr>
        <w:t>推进龙湾港临港经济区</w:t>
      </w:r>
      <w:bookmarkEnd w:id="235"/>
      <w:bookmarkEnd w:id="236"/>
      <w:bookmarkEnd w:id="237"/>
      <w:bookmarkEnd w:id="238"/>
      <w:bookmarkEnd w:id="239"/>
      <w:bookmarkEnd w:id="240"/>
      <w:bookmarkEnd w:id="241"/>
      <w:r>
        <w:rPr>
          <w:rFonts w:hint="eastAsia" w:ascii="楷体" w:hAnsi="楷体" w:eastAsia="楷体" w:cs="楷体"/>
        </w:rPr>
        <w:t>建设</w:t>
      </w:r>
      <w:bookmarkEnd w:id="242"/>
      <w:bookmarkEnd w:id="243"/>
      <w:bookmarkEnd w:id="244"/>
      <w:bookmarkEnd w:id="245"/>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标准超前规划建设龙湾港,以港航枢纽建设为依托,以发展高端航运业为突破口，打造中国特色自由贸易港的重要出海口和面向21世纪海上丝绸之路的国际物流大通道。重点布局加工贸易、服务贸易和战略性新兴产业，着力推动港产融合、区港联动、产城融合。</w:t>
      </w:r>
    </w:p>
    <w:p>
      <w:pPr>
        <w:widowControl w:val="0"/>
        <w:spacing w:line="620" w:lineRule="exact"/>
        <w:ind w:firstLine="629" w:firstLineChars="196"/>
        <w:rPr>
          <w:rFonts w:ascii="仿宋_GB2312" w:hAnsi="仿宋_GB2312" w:eastAsia="仿宋_GB2312" w:cs="仿宋_GB2312"/>
          <w:sz w:val="32"/>
          <w:szCs w:val="32"/>
        </w:rPr>
      </w:pPr>
      <w:r>
        <w:rPr>
          <w:rFonts w:hint="eastAsia" w:ascii="楷体" w:hAnsi="楷体" w:eastAsia="楷体" w:cs="仿宋_GB2312"/>
          <w:b/>
          <w:sz w:val="32"/>
          <w:szCs w:val="32"/>
        </w:rPr>
        <w:t>完善国际航运基础设施。</w:t>
      </w:r>
      <w:r>
        <w:rPr>
          <w:rFonts w:hint="eastAsia" w:ascii="仿宋_GB2312" w:hAnsi="仿宋_GB2312" w:eastAsia="仿宋_GB2312" w:cs="仿宋_GB2312"/>
          <w:sz w:val="32"/>
          <w:szCs w:val="32"/>
        </w:rPr>
        <w:t>提升现有疏港大道公路等级，规划建设其他临港疏港公路，布局连接主城区的城际轨道，谋划推动龙湾港临港经济区与博鳌机场、环岛高铁、高速公路的密切衔接，加快推进陆海联运、空海联运和陆海空联运，形成完善的港口疏运体系。加强与海口秀英港、新海港、三亚港、洋浦港及八所港的合作交流，共建物流信息平台，增加开辟到欧美、东南亚的航线，力争将龙湾港打造成为 服务“一带一路”的重要物流枢纽港。</w:t>
      </w:r>
    </w:p>
    <w:p>
      <w:pPr>
        <w:widowControl w:val="0"/>
        <w:snapToGrid w:val="0"/>
        <w:spacing w:line="600" w:lineRule="exact"/>
        <w:ind w:firstLine="803" w:firstLineChars="250"/>
        <w:rPr>
          <w:rFonts w:ascii="仿宋_GB2312" w:hAnsi="仿宋_GB2312" w:eastAsia="仿宋_GB2312" w:cs="仿宋_GB2312"/>
          <w:sz w:val="32"/>
          <w:szCs w:val="32"/>
        </w:rPr>
      </w:pPr>
      <w:r>
        <w:rPr>
          <w:rFonts w:hint="eastAsia" w:ascii="楷体" w:hAnsi="楷体" w:eastAsia="楷体" w:cs="仿宋_GB2312"/>
          <w:b/>
          <w:sz w:val="32"/>
          <w:szCs w:val="32"/>
        </w:rPr>
        <w:t>建设两大主导产业集群。</w:t>
      </w:r>
      <w:r>
        <w:rPr>
          <w:rFonts w:hint="eastAsia" w:ascii="仿宋_GB2312" w:hAnsi="仿宋_GB2312" w:eastAsia="仿宋_GB2312" w:cs="仿宋_GB2312"/>
          <w:sz w:val="32"/>
          <w:szCs w:val="32"/>
        </w:rPr>
        <w:t>以港航物流业和临港旅游业作为两大核心主导产业，配套万吨级码头、仓储设施、集疏运网络、游船游艇码头、游客服务中心、酒店等基础设施，建设集运输、仓储、装卸、 加工、配送、信息为一体的现代物流园区。引进国内外龙头企业和海洋运输船队，服务岛内外物资供应，开展国际海运及辅助业务，拓展航运服务产业链。加强与岛内外其它邮轮港联动合作，不断拓展旅游航线、丰富旅游产品，提高港口的形象和知名度。</w:t>
      </w:r>
    </w:p>
    <w:p>
      <w:pPr>
        <w:widowControl w:val="0"/>
        <w:snapToGrid w:val="0"/>
        <w:spacing w:line="600" w:lineRule="exact"/>
        <w:ind w:firstLine="642" w:firstLineChars="200"/>
        <w:jc w:val="left"/>
        <w:rPr>
          <w:rFonts w:ascii="楷体" w:hAnsi="楷体" w:eastAsia="楷体" w:cs="仿宋_GB2312"/>
          <w:b/>
          <w:sz w:val="32"/>
          <w:szCs w:val="32"/>
        </w:rPr>
      </w:pPr>
      <w:r>
        <w:rPr>
          <w:rFonts w:hint="eastAsia" w:ascii="楷体" w:hAnsi="楷体" w:eastAsia="楷体" w:cs="仿宋_GB2312"/>
          <w:b/>
          <w:sz w:val="32"/>
          <w:szCs w:val="32"/>
        </w:rPr>
        <w:t>打造三大特色产业板块。</w:t>
      </w:r>
      <w:r>
        <w:rPr>
          <w:rFonts w:hint="eastAsia" w:ascii="仿宋_GB2312" w:hAnsi="仿宋_GB2312" w:eastAsia="仿宋_GB2312" w:cs="仿宋_GB2312"/>
          <w:sz w:val="32"/>
          <w:szCs w:val="32"/>
        </w:rPr>
        <w:t>完善特色农产品加工、海洋生物医药制造、特色工艺品研发加工等产业链，推动龙湾港临港经济区与潭门港以及海南东部农产品交易集散中心等区域、项目产业链集成、整合、创新。建设以海产品和热带特色农产品加工为主导的现代特色农产品初、深加工产业基地。对标博鳌乐城国际医疗旅游先行区，瞄准生命科学技术前沿，推动建设高水平海洋药物研发重点实验室，打造高水平、有特色的海洋生物医药产业集群。瞄准面向旅游客源市场的工艺品加工业，着力培育和引进一批辐射带动能力强的工艺品加工企业，开展工艺礼品、产品设计，促进港口工艺品制造业向全球产业链高端迁移。</w:t>
      </w:r>
    </w:p>
    <w:p>
      <w:pPr>
        <w:widowControl w:val="0"/>
        <w:snapToGrid w:val="0"/>
        <w:spacing w:line="600" w:lineRule="exact"/>
        <w:ind w:firstLine="642" w:firstLineChars="200"/>
        <w:rPr>
          <w:rFonts w:ascii="仿宋_GB2312" w:hAnsi="仿宋_GB2312" w:eastAsia="仿宋_GB2312" w:cs="仿宋_GB2312"/>
          <w:sz w:val="32"/>
          <w:szCs w:val="32"/>
        </w:rPr>
      </w:pPr>
      <w:r>
        <w:rPr>
          <w:rFonts w:hint="eastAsia" w:ascii="楷体" w:hAnsi="楷体" w:eastAsia="楷体" w:cs="仿宋_GB2312"/>
          <w:b/>
          <w:sz w:val="32"/>
          <w:szCs w:val="32"/>
        </w:rPr>
        <w:t>培育两大新兴产业。</w:t>
      </w:r>
      <w:r>
        <w:rPr>
          <w:rFonts w:hint="eastAsia" w:ascii="仿宋_GB2312" w:hAnsi="仿宋_GB2312" w:eastAsia="仿宋_GB2312" w:cs="仿宋_GB2312"/>
          <w:sz w:val="32"/>
          <w:szCs w:val="32"/>
        </w:rPr>
        <w:t>加快培育深海产业、新一代信息技术两大新兴产业。整合国内外科研力量，导入资源，建设龙湾港深海研究中心。着力提升深海探测原始创新能力，抢占海洋科技产业赛道，为琼海经济持续发展提供动力。谋划引进国内外相关前沿科研机构、孵化机构、金融机构、创新型企业打造深海产业链。部署以5G网络为代表的新一代信息基础设施，以港口基础设施建设、港口休闲旅游、海洋运输等为应用场景，打造全链条物联网产业链。</w:t>
      </w:r>
    </w:p>
    <w:p>
      <w:pPr>
        <w:pStyle w:val="2"/>
        <w:ind w:firstLine="0" w:firstLineChars="0"/>
        <w:rPr>
          <w:color w:val="auto"/>
        </w:rPr>
      </w:pPr>
    </w:p>
    <w:tbl>
      <w:tblPr>
        <w:tblStyle w:val="1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288" w:type="dxa"/>
          </w:tcPr>
          <w:p>
            <w:pPr>
              <w:widowControl w:val="0"/>
              <w:spacing w:line="460" w:lineRule="exact"/>
              <w:jc w:val="center"/>
              <w:rPr>
                <w:rFonts w:ascii="Times New Roman" w:hAnsi="Times New Roman" w:eastAsia="黑体"/>
                <w:b/>
                <w:sz w:val="28"/>
                <w:szCs w:val="28"/>
              </w:rPr>
            </w:pPr>
            <w:r>
              <w:rPr>
                <w:rFonts w:hint="eastAsia" w:ascii="Times New Roman" w:hAnsi="黑体" w:eastAsia="黑体"/>
                <w:b/>
                <w:sz w:val="28"/>
                <w:szCs w:val="28"/>
              </w:rPr>
              <w:t>专栏</w:t>
            </w:r>
            <w:r>
              <w:rPr>
                <w:rFonts w:ascii="Times New Roman" w:hAnsi="黑体" w:eastAsia="黑体"/>
                <w:b/>
                <w:sz w:val="28"/>
                <w:szCs w:val="28"/>
              </w:rPr>
              <w:t>9：“十四五”龙湾港临港经济区重点</w:t>
            </w:r>
            <w:r>
              <w:rPr>
                <w:rFonts w:hint="eastAsia" w:ascii="黑体" w:hAnsi="黑体" w:eastAsia="黑体"/>
                <w:b/>
                <w:sz w:val="28"/>
                <w:szCs w:val="28"/>
              </w:rPr>
              <w:t>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8" w:type="dxa"/>
          </w:tcPr>
          <w:p>
            <w:pPr>
              <w:widowControl w:val="0"/>
              <w:spacing w:line="520" w:lineRule="exact"/>
              <w:ind w:firstLine="562" w:firstLineChars="200"/>
            </w:pPr>
            <w:r>
              <w:rPr>
                <w:rFonts w:hint="eastAsia" w:ascii="楷体_GB2312" w:hAnsi="Times New Roman" w:eastAsia="楷体_GB2312"/>
                <w:b/>
                <w:sz w:val="28"/>
                <w:szCs w:val="28"/>
              </w:rPr>
              <w:t>01.龙湾港基础设施建设工程</w:t>
            </w:r>
          </w:p>
          <w:p>
            <w:pPr>
              <w:widowControl w:val="0"/>
              <w:spacing w:line="520" w:lineRule="exact"/>
              <w:ind w:firstLine="546" w:firstLineChars="195"/>
              <w:rPr>
                <w:rFonts w:ascii="仿宋_GB2312" w:hAnsi="仿宋_GB2312" w:eastAsia="仿宋_GB2312" w:cs="仿宋_GB2312"/>
                <w:sz w:val="28"/>
                <w:szCs w:val="28"/>
              </w:rPr>
            </w:pPr>
            <w:r>
              <w:rPr>
                <w:rFonts w:hint="eastAsia" w:ascii="仿宋_GB2312" w:hAnsi="仿宋_GB2312" w:eastAsia="仿宋_GB2312" w:cs="仿宋_GB2312"/>
                <w:sz w:val="28"/>
                <w:szCs w:val="28"/>
              </w:rPr>
              <w:t>完善龙湾港基础设施建设，完善提升路网交通设施、配套建设仓储物流设施，谋划建设口岸及航运服务设施，提升国际贸易吞吐能力。</w:t>
            </w:r>
          </w:p>
          <w:p>
            <w:pPr>
              <w:widowControl w:val="0"/>
              <w:spacing w:line="520" w:lineRule="exact"/>
              <w:ind w:firstLine="562" w:firstLineChars="200"/>
              <w:rPr>
                <w:rFonts w:ascii="楷体_GB2312" w:hAnsi="Times New Roman" w:eastAsia="楷体_GB2312"/>
                <w:b/>
                <w:sz w:val="28"/>
                <w:szCs w:val="28"/>
              </w:rPr>
            </w:pPr>
            <w:r>
              <w:rPr>
                <w:rFonts w:hint="eastAsia" w:ascii="楷体_GB2312" w:hAnsi="Times New Roman" w:eastAsia="楷体_GB2312"/>
                <w:b/>
                <w:sz w:val="28"/>
                <w:szCs w:val="28"/>
              </w:rPr>
              <w:t>02.万吨级码头建设工程</w:t>
            </w:r>
          </w:p>
          <w:p>
            <w:pPr>
              <w:pStyle w:val="10"/>
              <w:widowControl w:val="0"/>
              <w:spacing w:after="0" w:line="520" w:lineRule="exact"/>
              <w:ind w:left="0" w:leftChars="0" w:firstLine="0"/>
              <w:rPr>
                <w:rFonts w:ascii="仿宋" w:hAnsi="仿宋" w:eastAsia="仿宋"/>
                <w:w w:val="90"/>
                <w:sz w:val="28"/>
                <w:szCs w:val="28"/>
              </w:rPr>
            </w:pPr>
            <w:r>
              <w:rPr>
                <w:rFonts w:hint="eastAsia"/>
              </w:rPr>
              <w:t xml:space="preserve"> </w:t>
            </w:r>
            <w:r>
              <w:rPr>
                <w:rFonts w:hint="eastAsia" w:ascii="仿宋" w:hAnsi="仿宋" w:eastAsia="仿宋"/>
                <w:sz w:val="28"/>
                <w:szCs w:val="28"/>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w w:val="90"/>
                <w:sz w:val="28"/>
                <w:szCs w:val="28"/>
              </w:rPr>
              <w:t>建设龙湾港万吨级码头，提升港口集疏运、装卸、储存、配送、加工等能力。</w:t>
            </w:r>
          </w:p>
          <w:p>
            <w:pPr>
              <w:pStyle w:val="10"/>
              <w:widowControl w:val="0"/>
              <w:spacing w:after="0" w:line="520" w:lineRule="exact"/>
              <w:ind w:left="0" w:leftChars="0" w:firstLine="562" w:firstLineChars="200"/>
              <w:rPr>
                <w:rFonts w:ascii="楷体_GB2312" w:hAnsi="Times New Roman" w:eastAsia="楷体_GB2312"/>
                <w:b/>
                <w:sz w:val="28"/>
                <w:szCs w:val="28"/>
              </w:rPr>
            </w:pPr>
            <w:r>
              <w:rPr>
                <w:rFonts w:hint="eastAsia" w:ascii="楷体_GB2312" w:hAnsi="Times New Roman" w:eastAsia="楷体_GB2312"/>
                <w:b/>
                <w:sz w:val="28"/>
                <w:szCs w:val="28"/>
              </w:rPr>
              <w:t>03.龙湾港临港旅游建设工程</w:t>
            </w:r>
          </w:p>
          <w:p>
            <w:pPr>
              <w:pStyle w:val="10"/>
              <w:widowControl w:val="0"/>
              <w:spacing w:after="0" w:line="520" w:lineRule="exact"/>
              <w:ind w:left="0" w:leftChars="0" w:firstLine="560" w:firstLineChars="200"/>
            </w:pPr>
            <w:r>
              <w:rPr>
                <w:rFonts w:hint="eastAsia" w:ascii="仿宋_GB2312" w:hAnsi="仿宋_GB2312" w:eastAsia="仿宋_GB2312" w:cs="仿宋_GB2312"/>
                <w:sz w:val="28"/>
                <w:szCs w:val="28"/>
              </w:rPr>
              <w:t>引入社会资本，建设邮轮停靠码头、游船游艇码头、游客服务中心等基础设施以及酒店、商场等配套设施建设。</w:t>
            </w:r>
          </w:p>
        </w:tc>
      </w:tr>
    </w:tbl>
    <w:p>
      <w:pPr>
        <w:pStyle w:val="9"/>
        <w:widowControl w:val="0"/>
        <w:spacing w:line="540" w:lineRule="exact"/>
        <w:outlineLvl w:val="1"/>
        <w:rPr>
          <w:rFonts w:ascii="楷体" w:hAnsi="楷体" w:eastAsia="楷体" w:cs="楷体"/>
          <w:color w:val="FF0000"/>
        </w:rPr>
      </w:pPr>
      <w:bookmarkStart w:id="246" w:name="_Toc56346953"/>
      <w:bookmarkStart w:id="247" w:name="_Toc13035"/>
      <w:bookmarkStart w:id="248" w:name="_Toc21026"/>
      <w:bookmarkStart w:id="249" w:name="_Toc18490"/>
      <w:bookmarkStart w:id="250" w:name="_Toc30627"/>
      <w:bookmarkStart w:id="251" w:name="_Toc30334"/>
      <w:bookmarkStart w:id="252" w:name="_Toc1473"/>
      <w:bookmarkStart w:id="253" w:name="_Toc29346"/>
      <w:bookmarkStart w:id="254" w:name="_Toc26108"/>
      <w:bookmarkStart w:id="255" w:name="_Toc28448"/>
      <w:r>
        <w:rPr>
          <w:rFonts w:hint="eastAsia" w:ascii="楷体" w:hAnsi="楷体" w:eastAsia="楷体" w:cs="楷体"/>
          <w:color w:val="FF0000"/>
        </w:rPr>
        <w:t>第六节</w:t>
      </w:r>
      <w:r>
        <w:rPr>
          <w:rFonts w:ascii="楷体" w:hAnsi="楷体" w:eastAsia="楷体" w:cs="楷体"/>
          <w:color w:val="FF0000"/>
        </w:rPr>
        <w:t xml:space="preserve">  </w:t>
      </w:r>
      <w:r>
        <w:rPr>
          <w:rFonts w:hint="eastAsia" w:ascii="楷体" w:hAnsi="楷体" w:eastAsia="楷体" w:cs="楷体"/>
          <w:color w:val="FF0000"/>
        </w:rPr>
        <w:t>加强琼海国家级智能网联示范先导区</w:t>
      </w:r>
      <w:bookmarkEnd w:id="246"/>
      <w:r>
        <w:rPr>
          <w:rFonts w:hint="eastAsia" w:ascii="楷体" w:hAnsi="楷体" w:eastAsia="楷体" w:cs="楷体"/>
          <w:color w:val="FF0000"/>
        </w:rPr>
        <w:t>建设</w:t>
      </w:r>
      <w:bookmarkEnd w:id="247"/>
      <w:bookmarkEnd w:id="248"/>
      <w:bookmarkEnd w:id="249"/>
      <w:bookmarkEnd w:id="250"/>
      <w:bookmarkEnd w:id="251"/>
      <w:bookmarkEnd w:id="252"/>
      <w:bookmarkEnd w:id="253"/>
      <w:bookmarkEnd w:id="254"/>
      <w:bookmarkEnd w:id="255"/>
    </w:p>
    <w:p>
      <w:pPr>
        <w:widowControl w:val="0"/>
        <w:spacing w:line="540" w:lineRule="exact"/>
        <w:ind w:firstLine="624" w:firstLineChars="195"/>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围绕琼海国家级智能网联示范先导区项目建设，构建智能网联产业生态，创建国家级智能网联示范先导区。</w:t>
      </w:r>
    </w:p>
    <w:p>
      <w:pPr>
        <w:widowControl w:val="0"/>
        <w:spacing w:line="540" w:lineRule="exact"/>
        <w:ind w:firstLine="642" w:firstLineChars="200"/>
        <w:rPr>
          <w:rFonts w:ascii="仿宋_GB2312" w:eastAsia="仿宋_GB2312"/>
          <w:color w:val="FF0000"/>
          <w:sz w:val="32"/>
          <w:szCs w:val="32"/>
        </w:rPr>
      </w:pPr>
      <w:r>
        <w:rPr>
          <w:rFonts w:hint="eastAsia" w:ascii="楷体" w:hAnsi="楷体" w:eastAsia="楷体" w:cs="仿宋_GB2312"/>
          <w:b/>
          <w:color w:val="FF0000"/>
          <w:sz w:val="32"/>
          <w:szCs w:val="32"/>
        </w:rPr>
        <w:t>搭建智能网联产业发展平台。</w:t>
      </w:r>
      <w:r>
        <w:rPr>
          <w:rFonts w:hint="eastAsia" w:ascii="仿宋_GB2312" w:hAnsi="仿宋_GB2312" w:eastAsia="仿宋_GB2312" w:cs="仿宋_GB2312"/>
          <w:color w:val="FF0000"/>
          <w:sz w:val="32"/>
          <w:szCs w:val="32"/>
        </w:rPr>
        <w:t>发动本地企业参与，引进社会资本投资，打造车联网产业运营平台，推动</w:t>
      </w:r>
      <w:r>
        <w:rPr>
          <w:rFonts w:hint="eastAsia" w:ascii="仿宋_GB2312" w:eastAsia="仿宋_GB2312"/>
          <w:color w:val="FF0000"/>
          <w:sz w:val="32"/>
          <w:szCs w:val="32"/>
        </w:rPr>
        <w:t>落实琼海国家智能网联汽车先导区的建设和运营，开展全省智能网联汽车测试运营业务、全省智慧公路中智能网联业务的运营业务。推动全省汽车加装车载终端业务，为海南探索县道里程收费融合、智能网联汽车与里程收费改革打好基础。落实琼海博鳌东屿岛自动驾驶常态化运营。</w:t>
      </w:r>
    </w:p>
    <w:p>
      <w:pPr>
        <w:widowControl w:val="0"/>
        <w:spacing w:line="540" w:lineRule="exact"/>
        <w:ind w:firstLine="642" w:firstLineChars="200"/>
        <w:rPr>
          <w:rFonts w:ascii="仿宋_GB2312" w:eastAsia="仿宋_GB2312"/>
          <w:color w:val="FF0000"/>
          <w:sz w:val="32"/>
          <w:szCs w:val="32"/>
        </w:rPr>
      </w:pPr>
      <w:r>
        <w:rPr>
          <w:rFonts w:hint="eastAsia" w:ascii="楷体" w:hAnsi="楷体" w:eastAsia="楷体" w:cs="仿宋_GB2312"/>
          <w:b/>
          <w:color w:val="FF0000"/>
          <w:sz w:val="32"/>
          <w:szCs w:val="32"/>
        </w:rPr>
        <w:t>筹建重点实验室。</w:t>
      </w:r>
      <w:r>
        <w:rPr>
          <w:rFonts w:hint="eastAsia" w:ascii="仿宋_GB2312" w:eastAsia="仿宋_GB2312"/>
          <w:color w:val="FF0000"/>
          <w:sz w:val="32"/>
          <w:szCs w:val="32"/>
        </w:rPr>
        <w:t>邀请行业权威专家牵头，在海南软件学院成立车联网产业技术重点实验室，争取国家、省级支持发展车联网产业的相关政策资源向琼海倾斜，争取发展成为智能汽车应用国家科学中心。设立车联网专项课题，引导相关企业联合开展技术攻关，引进重点项目,形成一批有较强竞争力的重点企业、关键技术与核心产品，支撑全省车联网产业发展。</w:t>
      </w:r>
    </w:p>
    <w:p>
      <w:pPr>
        <w:widowControl w:val="0"/>
        <w:spacing w:line="580" w:lineRule="exact"/>
        <w:ind w:firstLine="642" w:firstLineChars="200"/>
        <w:rPr>
          <w:rFonts w:ascii="仿宋_GB2312" w:eastAsia="仿宋_GB2312"/>
          <w:color w:val="FF0000"/>
          <w:sz w:val="32"/>
          <w:szCs w:val="32"/>
        </w:rPr>
      </w:pPr>
      <w:r>
        <w:rPr>
          <w:rFonts w:hint="eastAsia" w:ascii="楷体" w:hAnsi="楷体" w:eastAsia="楷体" w:cs="仿宋_GB2312"/>
          <w:b/>
          <w:color w:val="FF0000"/>
          <w:sz w:val="32"/>
          <w:szCs w:val="32"/>
        </w:rPr>
        <w:t>推动智能网联产业聚集发展。</w:t>
      </w:r>
      <w:r>
        <w:rPr>
          <w:rFonts w:hint="eastAsia" w:ascii="仿宋_GB2312" w:eastAsia="仿宋_GB2312"/>
          <w:color w:val="FF0000"/>
          <w:sz w:val="32"/>
          <w:szCs w:val="32"/>
        </w:rPr>
        <w:t>积极争取国家、省新基建建设项目资金支持，谋划琼海市车联网产业园区建设，为招商引资搭好平台。紧扣海南（琼海）国家级车联网先导区建设，争取在2021年在车联网云控中心、高精地图、操作系统等方面有所突破；2023年实现车联网全产业链落地琼海车联网产业园区，产值超过百亿；到2025年，将产业园区打造成为车联网总部经济基地。</w:t>
      </w:r>
    </w:p>
    <w:p>
      <w:pPr>
        <w:widowControl w:val="0"/>
        <w:ind w:firstLine="420" w:firstLineChars="200"/>
        <w:rPr>
          <w:color w:val="FF0000"/>
        </w:rPr>
      </w:pPr>
    </w:p>
    <w:tbl>
      <w:tblPr>
        <w:tblStyle w:val="1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288" w:type="dxa"/>
          </w:tcPr>
          <w:p>
            <w:pPr>
              <w:widowControl w:val="0"/>
              <w:spacing w:line="460" w:lineRule="exact"/>
              <w:jc w:val="center"/>
              <w:rPr>
                <w:rFonts w:ascii="Times New Roman" w:hAnsi="Times New Roman" w:eastAsia="黑体"/>
                <w:b/>
                <w:color w:val="FF0000"/>
                <w:sz w:val="28"/>
                <w:szCs w:val="28"/>
              </w:rPr>
            </w:pPr>
            <w:r>
              <w:rPr>
                <w:rFonts w:hint="eastAsia" w:ascii="黑体" w:hAnsi="黑体" w:eastAsia="黑体"/>
                <w:b/>
                <w:color w:val="FF0000"/>
                <w:sz w:val="28"/>
                <w:szCs w:val="28"/>
              </w:rPr>
              <w:t>专栏</w:t>
            </w:r>
            <w:r>
              <w:rPr>
                <w:rFonts w:ascii="黑体" w:hAnsi="黑体" w:eastAsia="黑体"/>
                <w:b/>
                <w:color w:val="FF0000"/>
                <w:sz w:val="28"/>
                <w:szCs w:val="28"/>
              </w:rPr>
              <w:t>10：“十四五”时期琼海国家级智能网联示范先导区重点工程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8" w:type="dxa"/>
          </w:tcPr>
          <w:p>
            <w:pPr>
              <w:spacing w:line="480" w:lineRule="exact"/>
              <w:ind w:firstLine="548" w:firstLineChars="195"/>
              <w:rPr>
                <w:rFonts w:ascii="楷体" w:hAnsi="楷体" w:eastAsia="楷体" w:cs="楷体"/>
                <w:b/>
                <w:color w:val="FF0000"/>
                <w:sz w:val="28"/>
                <w:szCs w:val="28"/>
              </w:rPr>
            </w:pPr>
            <w:r>
              <w:rPr>
                <w:rFonts w:hint="eastAsia" w:ascii="楷体_GB2312" w:hAnsi="Times New Roman" w:eastAsia="楷体_GB2312"/>
                <w:b/>
                <w:color w:val="FF0000"/>
                <w:sz w:val="28"/>
                <w:szCs w:val="28"/>
              </w:rPr>
              <w:t>01.</w:t>
            </w:r>
            <w:r>
              <w:rPr>
                <w:rFonts w:ascii="楷体" w:hAnsi="楷体" w:eastAsia="楷体" w:cs="楷体"/>
                <w:b/>
                <w:color w:val="FF0000"/>
                <w:sz w:val="28"/>
                <w:szCs w:val="28"/>
              </w:rPr>
              <w:t>里程收费测试验证及相关开发</w:t>
            </w:r>
          </w:p>
          <w:p>
            <w:pPr>
              <w:spacing w:line="480" w:lineRule="exact"/>
              <w:ind w:firstLine="546" w:firstLineChars="195"/>
              <w:rPr>
                <w:rFonts w:ascii="仿宋" w:hAnsi="仿宋" w:eastAsia="仿宋" w:cs="仿宋"/>
                <w:color w:val="FF0000"/>
                <w:sz w:val="28"/>
                <w:szCs w:val="28"/>
              </w:rPr>
            </w:pPr>
            <w:r>
              <w:rPr>
                <w:rFonts w:hint="eastAsia" w:ascii="仿宋" w:hAnsi="仿宋" w:eastAsia="仿宋" w:cs="仿宋"/>
                <w:color w:val="FF0000"/>
                <w:sz w:val="28"/>
                <w:szCs w:val="28"/>
              </w:rPr>
              <w:t>积极推进里程费改革试点与车联网融合发展，探索面向未来的智慧出行方案和商业模式创新。</w:t>
            </w:r>
          </w:p>
          <w:p>
            <w:pPr>
              <w:widowControl w:val="0"/>
              <w:spacing w:line="480" w:lineRule="exact"/>
              <w:ind w:firstLine="548" w:firstLineChars="195"/>
              <w:rPr>
                <w:rFonts w:ascii="楷体" w:hAnsi="楷体" w:eastAsia="楷体" w:cs="楷体"/>
                <w:b/>
                <w:color w:val="FF0000"/>
                <w:sz w:val="28"/>
                <w:szCs w:val="28"/>
              </w:rPr>
            </w:pPr>
            <w:r>
              <w:rPr>
                <w:rFonts w:ascii="楷体" w:hAnsi="楷体" w:eastAsia="楷体" w:cs="楷体"/>
                <w:b/>
                <w:color w:val="FF0000"/>
                <w:sz w:val="28"/>
                <w:szCs w:val="28"/>
              </w:rPr>
              <w:t>02.区域云控平台</w:t>
            </w:r>
            <w:r>
              <w:rPr>
                <w:rFonts w:hint="eastAsia" w:ascii="楷体" w:hAnsi="楷体" w:eastAsia="楷体" w:cs="楷体"/>
                <w:b/>
                <w:color w:val="FF0000"/>
                <w:sz w:val="28"/>
                <w:szCs w:val="28"/>
              </w:rPr>
              <w:t>建设工程</w:t>
            </w:r>
          </w:p>
          <w:p>
            <w:pPr>
              <w:widowControl w:val="0"/>
              <w:spacing w:line="480" w:lineRule="exact"/>
              <w:ind w:firstLine="546" w:firstLineChars="195"/>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在琼海市建设1个区域云控平台。</w:t>
            </w:r>
          </w:p>
          <w:p>
            <w:pPr>
              <w:widowControl w:val="0"/>
              <w:spacing w:line="480" w:lineRule="exact"/>
              <w:ind w:firstLine="548" w:firstLineChars="195"/>
              <w:rPr>
                <w:rFonts w:ascii="楷体" w:hAnsi="楷体" w:eastAsia="楷体" w:cs="楷体"/>
                <w:b/>
                <w:color w:val="FF0000"/>
                <w:sz w:val="28"/>
                <w:szCs w:val="28"/>
              </w:rPr>
            </w:pPr>
            <w:r>
              <w:rPr>
                <w:rFonts w:ascii="楷体" w:hAnsi="楷体" w:eastAsia="楷体" w:cs="楷体"/>
                <w:b/>
                <w:color w:val="FF0000"/>
                <w:sz w:val="28"/>
                <w:szCs w:val="28"/>
              </w:rPr>
              <w:t>03.新建典型应用场景下的车联网封闭测试基地</w:t>
            </w:r>
          </w:p>
          <w:p>
            <w:pPr>
              <w:widowControl w:val="0"/>
              <w:spacing w:line="480" w:lineRule="exact"/>
              <w:ind w:firstLine="546" w:firstLineChars="195"/>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建设智能网联及车联网测试所需的特种测试路面近20种及典型应用测试场景上100个；配套智慧路灯、路测单元RSU设备、5G基站设备、网络</w:t>
            </w:r>
            <w:r>
              <w:rPr>
                <w:rFonts w:hint="eastAsia" w:ascii="仿宋_GB2312" w:hAnsi="仿宋_GB2312" w:eastAsia="仿宋_GB2312" w:cs="仿宋_GB2312"/>
                <w:color w:val="FF0000"/>
                <w:w w:val="90"/>
                <w:sz w:val="28"/>
                <w:szCs w:val="28"/>
              </w:rPr>
              <w:t>配套设施、智能监控系统、电子交通围栏、标线、智能信号灯等附属设施等。</w:t>
            </w:r>
          </w:p>
          <w:p>
            <w:pPr>
              <w:widowControl w:val="0"/>
              <w:spacing w:line="480" w:lineRule="exact"/>
              <w:ind w:firstLine="548" w:firstLineChars="195"/>
              <w:rPr>
                <w:rFonts w:ascii="楷体" w:hAnsi="楷体" w:eastAsia="楷体" w:cs="楷体"/>
                <w:b/>
                <w:color w:val="FF0000"/>
                <w:sz w:val="28"/>
                <w:szCs w:val="28"/>
              </w:rPr>
            </w:pPr>
            <w:r>
              <w:rPr>
                <w:rFonts w:ascii="楷体" w:hAnsi="楷体" w:eastAsia="楷体" w:cs="楷体"/>
                <w:b/>
                <w:color w:val="FF0000"/>
                <w:sz w:val="28"/>
                <w:szCs w:val="28"/>
              </w:rPr>
              <w:t>04.车载设备安装</w:t>
            </w:r>
            <w:r>
              <w:rPr>
                <w:rFonts w:hint="eastAsia" w:ascii="楷体" w:hAnsi="楷体" w:eastAsia="楷体" w:cs="楷体"/>
                <w:b/>
                <w:color w:val="FF0000"/>
                <w:sz w:val="28"/>
                <w:szCs w:val="28"/>
              </w:rPr>
              <w:t>工程</w:t>
            </w:r>
          </w:p>
          <w:p>
            <w:pPr>
              <w:widowControl w:val="0"/>
              <w:spacing w:line="480" w:lineRule="exact"/>
              <w:ind w:firstLine="546" w:firstLineChars="195"/>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选用不少于200台车辆进行车载设备OBU安装，改进提升博鳌东屿岛车联网示范测试相关设施，深入推进博鳌东屿岛车联网示范测试并进行高级辅助驾驶模式的车联网测试及应用。</w:t>
            </w:r>
          </w:p>
          <w:p>
            <w:pPr>
              <w:widowControl w:val="0"/>
              <w:spacing w:line="480" w:lineRule="exact"/>
              <w:ind w:firstLine="548" w:firstLineChars="195"/>
              <w:rPr>
                <w:rFonts w:ascii="楷体" w:hAnsi="楷体" w:eastAsia="楷体" w:cs="楷体"/>
                <w:b/>
                <w:color w:val="FF0000"/>
                <w:sz w:val="28"/>
                <w:szCs w:val="28"/>
              </w:rPr>
            </w:pPr>
            <w:r>
              <w:rPr>
                <w:rFonts w:ascii="楷体" w:hAnsi="楷体" w:eastAsia="楷体" w:cs="楷体"/>
                <w:b/>
                <w:color w:val="FF0000"/>
                <w:sz w:val="28"/>
                <w:szCs w:val="28"/>
              </w:rPr>
              <w:t>0</w:t>
            </w:r>
            <w:r>
              <w:rPr>
                <w:rFonts w:hint="eastAsia" w:ascii="楷体" w:hAnsi="楷体" w:eastAsia="楷体" w:cs="楷体"/>
                <w:b/>
                <w:color w:val="FF0000"/>
                <w:sz w:val="28"/>
                <w:szCs w:val="28"/>
              </w:rPr>
              <w:t>5</w:t>
            </w:r>
            <w:r>
              <w:rPr>
                <w:rFonts w:ascii="楷体" w:hAnsi="楷体" w:eastAsia="楷体" w:cs="楷体"/>
                <w:b/>
                <w:color w:val="FF0000"/>
                <w:sz w:val="28"/>
                <w:szCs w:val="28"/>
              </w:rPr>
              <w:t>.车路协同C-V2X大规模测试及标准制定</w:t>
            </w:r>
            <w:r>
              <w:rPr>
                <w:rFonts w:hint="eastAsia" w:ascii="楷体" w:hAnsi="楷体" w:eastAsia="楷体" w:cs="楷体"/>
                <w:b/>
                <w:color w:val="FF0000"/>
                <w:sz w:val="28"/>
                <w:szCs w:val="28"/>
              </w:rPr>
              <w:t>项目</w:t>
            </w:r>
          </w:p>
          <w:p>
            <w:pPr>
              <w:widowControl w:val="0"/>
              <w:spacing w:line="480" w:lineRule="exact"/>
              <w:ind w:firstLine="546" w:firstLineChars="195"/>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通过C-V2X车联网大规模测试验证等工作，深入开展车路协同C-V2X测试的研究，进行车路协同相关国家标准的制定。</w:t>
            </w:r>
          </w:p>
          <w:p>
            <w:pPr>
              <w:widowControl w:val="0"/>
              <w:spacing w:line="480" w:lineRule="exact"/>
              <w:ind w:firstLine="548" w:firstLineChars="195"/>
              <w:rPr>
                <w:rFonts w:ascii="楷体" w:hAnsi="楷体" w:eastAsia="楷体" w:cs="楷体"/>
                <w:b/>
                <w:color w:val="FF0000"/>
                <w:sz w:val="28"/>
                <w:szCs w:val="28"/>
              </w:rPr>
            </w:pPr>
            <w:r>
              <w:rPr>
                <w:rFonts w:ascii="楷体" w:hAnsi="楷体" w:eastAsia="楷体" w:cs="楷体"/>
                <w:b/>
                <w:color w:val="FF0000"/>
                <w:sz w:val="28"/>
                <w:szCs w:val="28"/>
              </w:rPr>
              <w:t>0</w:t>
            </w:r>
            <w:r>
              <w:rPr>
                <w:rFonts w:hint="eastAsia" w:ascii="楷体" w:hAnsi="楷体" w:eastAsia="楷体" w:cs="楷体"/>
                <w:b/>
                <w:color w:val="FF0000"/>
                <w:sz w:val="28"/>
                <w:szCs w:val="28"/>
              </w:rPr>
              <w:t>6</w:t>
            </w:r>
            <w:r>
              <w:rPr>
                <w:rFonts w:ascii="楷体" w:hAnsi="楷体" w:eastAsia="楷体" w:cs="楷体"/>
                <w:b/>
                <w:color w:val="FF0000"/>
                <w:sz w:val="28"/>
                <w:szCs w:val="28"/>
              </w:rPr>
              <w:t>.车路协同仿真平台</w:t>
            </w:r>
            <w:r>
              <w:rPr>
                <w:rFonts w:hint="eastAsia" w:ascii="楷体" w:hAnsi="楷体" w:eastAsia="楷体" w:cs="楷体"/>
                <w:b/>
                <w:color w:val="FF0000"/>
                <w:sz w:val="28"/>
                <w:szCs w:val="28"/>
              </w:rPr>
              <w:t>建设项目</w:t>
            </w:r>
          </w:p>
          <w:p>
            <w:pPr>
              <w:widowControl w:val="0"/>
              <w:spacing w:line="480" w:lineRule="exact"/>
              <w:ind w:firstLine="546" w:firstLineChars="195"/>
              <w:rPr>
                <w:rFonts w:ascii="仿宋" w:hAnsi="仿宋" w:eastAsia="仿宋" w:cs="仿宋"/>
                <w:color w:val="FF0000"/>
                <w:sz w:val="28"/>
                <w:szCs w:val="28"/>
              </w:rPr>
            </w:pPr>
            <w:r>
              <w:rPr>
                <w:rFonts w:hint="eastAsia" w:ascii="仿宋_GB2312" w:hAnsi="仿宋_GB2312" w:eastAsia="仿宋_GB2312" w:cs="仿宋_GB2312"/>
                <w:color w:val="FF0000"/>
                <w:sz w:val="28"/>
                <w:szCs w:val="28"/>
              </w:rPr>
              <w:t>建设包含车、路和平台的高精度、智能化、网联化为一体的车路协同仿真综合性管理平台。</w:t>
            </w:r>
          </w:p>
        </w:tc>
      </w:tr>
    </w:tbl>
    <w:p>
      <w:pPr>
        <w:pStyle w:val="9"/>
        <w:widowControl w:val="0"/>
        <w:spacing w:line="580" w:lineRule="exact"/>
        <w:outlineLvl w:val="1"/>
        <w:rPr>
          <w:rFonts w:ascii="楷体" w:hAnsi="楷体" w:eastAsia="楷体" w:cs="楷体"/>
        </w:rPr>
      </w:pPr>
      <w:bookmarkStart w:id="256" w:name="_Toc6290"/>
      <w:bookmarkStart w:id="257" w:name="_Toc12113"/>
      <w:bookmarkStart w:id="258" w:name="_Toc16587"/>
      <w:bookmarkStart w:id="259" w:name="_Toc25220"/>
      <w:bookmarkStart w:id="260" w:name="_Toc25062"/>
      <w:bookmarkStart w:id="261" w:name="_Toc18108"/>
      <w:bookmarkStart w:id="262" w:name="_Toc16827"/>
      <w:bookmarkStart w:id="263" w:name="_Toc21533"/>
      <w:bookmarkStart w:id="264" w:name="_Toc16876"/>
      <w:r>
        <w:rPr>
          <w:rFonts w:hint="eastAsia" w:ascii="楷体" w:hAnsi="楷体" w:eastAsia="楷体" w:cs="楷体"/>
        </w:rPr>
        <w:t>第七节</w:t>
      </w:r>
      <w:r>
        <w:rPr>
          <w:rFonts w:ascii="楷体" w:hAnsi="楷体" w:eastAsia="楷体" w:cs="楷体"/>
        </w:rPr>
        <w:t xml:space="preserve">  </w:t>
      </w:r>
      <w:r>
        <w:rPr>
          <w:rFonts w:hint="eastAsia" w:ascii="楷体" w:hAnsi="楷体" w:eastAsia="楷体" w:cs="楷体"/>
        </w:rPr>
        <w:t>推进大路绿色循环综合园区建设</w:t>
      </w:r>
    </w:p>
    <w:p>
      <w:pPr>
        <w:widowControl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坚持生态优先和土地的集约高效利用，立足现状产业基础，依托良好的区位、交通和资源条件，拓展产业链，打造集“农产深加工仓储、物流配送、贸易展示、创新科技研发”等功能为一体的琼海北部绿色循环产业园区。</w:t>
      </w:r>
    </w:p>
    <w:p>
      <w:pPr>
        <w:pStyle w:val="10"/>
        <w:widowControl w:val="0"/>
        <w:spacing w:line="560" w:lineRule="exact"/>
        <w:ind w:left="0" w:leftChars="0" w:firstLine="642" w:firstLineChars="200"/>
        <w:rPr>
          <w:rFonts w:ascii="仿宋_GB2312" w:hAnsi="仿宋" w:eastAsia="仿宋_GB2312"/>
          <w:sz w:val="32"/>
          <w:szCs w:val="32"/>
        </w:rPr>
      </w:pPr>
      <w:r>
        <w:rPr>
          <w:rFonts w:hint="eastAsia" w:ascii="楷体" w:hAnsi="楷体" w:eastAsia="楷体" w:cs="仿宋_GB2312"/>
          <w:b/>
          <w:sz w:val="32"/>
          <w:szCs w:val="32"/>
        </w:rPr>
        <w:t>打造农产品深加工产业链。</w:t>
      </w:r>
      <w:r>
        <w:rPr>
          <w:rFonts w:hint="eastAsia" w:ascii="仿宋_GB2312" w:hAnsi="仿宋" w:eastAsia="仿宋_GB2312"/>
          <w:sz w:val="32"/>
          <w:szCs w:val="32"/>
        </w:rPr>
        <w:t>借助“世界热带水果之窗”和琼海北翼农耕小镇良好的农业基础，瞄准农产品加工业的产业定位，积极培育粮食加工、特色热带作物加工、特色热带果蔬加工三大主导产业，</w:t>
      </w:r>
      <w:r>
        <w:rPr>
          <w:rFonts w:hint="eastAsia" w:ascii="仿宋_GB2312" w:hAnsi="宋体" w:eastAsia="仿宋_GB2312"/>
          <w:sz w:val="32"/>
          <w:szCs w:val="32"/>
        </w:rPr>
        <w:t>打造琼海特色农副产品加工基地，引领热带高效农业深度发展。持续完善园区基础设施和功能性板块建设，吸引更多龙头企业入驻，支持伍子醉企业开展槟榔药用物质提取和开发利用，打造槟榔精深加工品牌。</w:t>
      </w:r>
    </w:p>
    <w:p>
      <w:pPr>
        <w:pStyle w:val="10"/>
        <w:widowControl w:val="0"/>
        <w:spacing w:line="560" w:lineRule="exact"/>
        <w:ind w:left="0" w:leftChars="0" w:firstLine="642" w:firstLineChars="200"/>
        <w:rPr>
          <w:rFonts w:ascii="仿宋_GB2312" w:hAnsi="仿宋" w:eastAsia="仿宋_GB2312"/>
          <w:sz w:val="32"/>
          <w:szCs w:val="32"/>
        </w:rPr>
      </w:pPr>
      <w:r>
        <w:rPr>
          <w:rFonts w:hint="eastAsia" w:ascii="楷体" w:hAnsi="楷体" w:eastAsia="楷体" w:cs="仿宋_GB2312"/>
          <w:b/>
          <w:sz w:val="32"/>
          <w:szCs w:val="32"/>
        </w:rPr>
        <w:t>建设农产品集散中心。</w:t>
      </w:r>
      <w:r>
        <w:rPr>
          <w:rFonts w:hint="eastAsia" w:ascii="仿宋_GB2312" w:hAnsi="仿宋" w:eastAsia="仿宋_GB2312"/>
          <w:sz w:val="32"/>
          <w:szCs w:val="32"/>
        </w:rPr>
        <w:t>发挥交通区位优势，</w:t>
      </w:r>
      <w:r>
        <w:rPr>
          <w:rFonts w:hint="eastAsia" w:ascii="仿宋_GB2312" w:hAnsi="宋体" w:eastAsia="仿宋_GB2312"/>
          <w:sz w:val="32"/>
          <w:szCs w:val="32"/>
        </w:rPr>
        <w:t>整合分散、无序的农产品交易，</w:t>
      </w:r>
      <w:r>
        <w:rPr>
          <w:rFonts w:hint="eastAsia" w:ascii="仿宋_GB2312" w:hAnsi="仿宋" w:eastAsia="仿宋_GB2312"/>
          <w:sz w:val="32"/>
          <w:szCs w:val="32"/>
        </w:rPr>
        <w:t>发展热带农产品分拨交易，打造海南东部</w:t>
      </w:r>
      <w:r>
        <w:rPr>
          <w:rFonts w:hint="eastAsia" w:ascii="仿宋_GB2312" w:hAnsi="宋体" w:eastAsia="仿宋_GB2312"/>
          <w:sz w:val="32"/>
          <w:szCs w:val="32"/>
        </w:rPr>
        <w:t>农贸产品物流集散中心，提高特色热带农副产品商业价值。引入国内知名物流公司建设农产品（冷链）仓储物流基地，采用低温贮藏、减压贮藏、气调贮藏等手段，延长农产品保鲜期，降低运输损耗，提升产品价格，不断提升农民经济收益。引进优势物流企业入驻园区，构建联通全国各地的物流集散网络。建设完善的农副产品交易信息平台和农产品质量检测系统，推动与全国各地农产品信息的交流互通，实现农产品质量安全溯源，有效降低农产品交易流通成本，增强产品的竞争力。</w:t>
      </w:r>
    </w:p>
    <w:p>
      <w:pPr>
        <w:pStyle w:val="10"/>
        <w:widowControl w:val="0"/>
        <w:spacing w:line="560" w:lineRule="exact"/>
        <w:ind w:left="0" w:leftChars="0" w:firstLine="642" w:firstLineChars="200"/>
        <w:rPr>
          <w:rFonts w:ascii="仿宋_GB2312" w:hAnsi="仿宋" w:eastAsia="仿宋_GB2312"/>
          <w:sz w:val="32"/>
          <w:szCs w:val="32"/>
        </w:rPr>
      </w:pPr>
      <w:r>
        <w:rPr>
          <w:rFonts w:hint="eastAsia" w:ascii="楷体" w:hAnsi="楷体" w:eastAsia="楷体" w:cs="仿宋_GB2312"/>
          <w:b/>
          <w:sz w:val="32"/>
          <w:szCs w:val="32"/>
        </w:rPr>
        <w:t>打造高新制造业聚集区</w:t>
      </w:r>
      <w:r>
        <w:rPr>
          <w:rFonts w:hint="eastAsia" w:ascii="仿宋_GB2312" w:hAnsi="仿宋" w:eastAsia="仿宋_GB2312"/>
          <w:sz w:val="32"/>
          <w:szCs w:val="32"/>
        </w:rPr>
        <w:t>。延伸产业链，推动生产性服务业向专业化和价值链高端延伸，生活性服务业向精细和高品质转变。有效整合科技资源，扩大农产品科技研发，提升槟榔、胡椒、椰子、油茶等热带经济作物附加值。鼓励海南斯达制药有限公司在园区扩建厂房，吸引更多医药制药业入驻，承接博鳌乐城国际医疗旅游先行区研发新药的生产制造。</w:t>
      </w:r>
    </w:p>
    <w:tbl>
      <w:tblPr>
        <w:tblStyle w:val="1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288" w:type="dxa"/>
          </w:tcPr>
          <w:p>
            <w:pPr>
              <w:widowControl w:val="0"/>
              <w:spacing w:line="460" w:lineRule="exact"/>
              <w:jc w:val="center"/>
              <w:rPr>
                <w:rFonts w:ascii="Times New Roman" w:hAnsi="Times New Roman" w:eastAsia="黑体"/>
                <w:b/>
                <w:sz w:val="28"/>
                <w:szCs w:val="28"/>
              </w:rPr>
            </w:pPr>
            <w:r>
              <w:rPr>
                <w:rFonts w:hint="eastAsia" w:ascii="黑体" w:hAnsi="黑体" w:eastAsia="黑体"/>
                <w:b/>
                <w:sz w:val="28"/>
                <w:szCs w:val="28"/>
              </w:rPr>
              <w:t>专栏11：“十四五”大路绿色循环综合园区重点工程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8" w:type="dxa"/>
          </w:tcPr>
          <w:p>
            <w:pPr>
              <w:widowControl w:val="0"/>
              <w:spacing w:line="520" w:lineRule="exact"/>
              <w:ind w:firstLine="562" w:firstLineChars="200"/>
              <w:rPr>
                <w:rFonts w:ascii="楷体_GB2312" w:hAnsi="Times New Roman" w:eastAsia="楷体_GB2312"/>
                <w:b/>
                <w:sz w:val="28"/>
                <w:szCs w:val="28"/>
              </w:rPr>
            </w:pPr>
            <w:r>
              <w:rPr>
                <w:rFonts w:hint="eastAsia" w:ascii="楷体_GB2312" w:hAnsi="Times New Roman" w:eastAsia="楷体_GB2312"/>
                <w:b/>
                <w:sz w:val="28"/>
                <w:szCs w:val="28"/>
              </w:rPr>
              <w:t>01.伍子醉槟榔加工厂污水工程</w:t>
            </w:r>
          </w:p>
          <w:p>
            <w:pPr>
              <w:widowControl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建设总管网长 1785m的污水工程。</w:t>
            </w:r>
          </w:p>
          <w:p>
            <w:pPr>
              <w:widowControl w:val="0"/>
              <w:spacing w:line="520" w:lineRule="exact"/>
              <w:ind w:firstLine="562" w:firstLineChars="200"/>
              <w:rPr>
                <w:rFonts w:ascii="楷体_GB2312" w:hAnsi="Times New Roman" w:eastAsia="楷体_GB2312"/>
                <w:b/>
                <w:sz w:val="28"/>
                <w:szCs w:val="28"/>
              </w:rPr>
            </w:pPr>
            <w:r>
              <w:rPr>
                <w:rFonts w:hint="eastAsia" w:ascii="楷体_GB2312" w:hAnsi="Times New Roman" w:eastAsia="楷体_GB2312"/>
                <w:b/>
                <w:sz w:val="28"/>
                <w:szCs w:val="28"/>
              </w:rPr>
              <w:t>02.大路农产品深加工园路网（一期）工程</w:t>
            </w:r>
          </w:p>
          <w:p>
            <w:pPr>
              <w:widowControl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完善园区路网建设，建设4条总长3477m的道路，面积66866 ㎡。</w:t>
            </w:r>
          </w:p>
          <w:p>
            <w:pPr>
              <w:pStyle w:val="3"/>
              <w:widowControl w:val="0"/>
              <w:spacing w:line="520" w:lineRule="exact"/>
              <w:ind w:firstLine="562" w:firstLineChars="200"/>
              <w:rPr>
                <w:rFonts w:ascii="楷体" w:hAnsi="楷体" w:eastAsia="楷体" w:cs="楷体"/>
                <w:b/>
                <w:bCs/>
                <w:sz w:val="28"/>
                <w:szCs w:val="28"/>
              </w:rPr>
            </w:pPr>
            <w:r>
              <w:rPr>
                <w:rFonts w:hint="eastAsia" w:ascii="楷体_GB2312" w:hAnsi="Times New Roman" w:eastAsia="楷体_GB2312"/>
                <w:b/>
                <w:sz w:val="28"/>
                <w:szCs w:val="28"/>
              </w:rPr>
              <w:t>03</w:t>
            </w:r>
            <w:r>
              <w:rPr>
                <w:rFonts w:ascii="楷体" w:hAnsi="楷体" w:eastAsia="楷体" w:cs="楷体"/>
                <w:b/>
                <w:bCs/>
                <w:sz w:val="28"/>
                <w:szCs w:val="28"/>
              </w:rPr>
              <w:t>.</w:t>
            </w:r>
            <w:r>
              <w:rPr>
                <w:rFonts w:hint="eastAsia" w:ascii="楷体" w:hAnsi="楷体" w:eastAsia="楷体" w:cs="楷体"/>
                <w:b/>
                <w:bCs/>
                <w:sz w:val="28"/>
                <w:szCs w:val="28"/>
              </w:rPr>
              <w:t>伍子醉生态链产业项目</w:t>
            </w:r>
          </w:p>
          <w:p>
            <w:pPr>
              <w:pStyle w:val="3"/>
              <w:widowControl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建设集槟榔采购、加工、生产、销售、科研于一体的大型食品加工项目。包括槟榔加工车间、员工宿舍、科研大楼、体验中心、综合办公楼、冻库和成品仓库、污水处理站等。</w:t>
            </w:r>
          </w:p>
        </w:tc>
      </w:tr>
    </w:tbl>
    <w:p>
      <w:pPr>
        <w:pStyle w:val="10"/>
        <w:widowControl w:val="0"/>
        <w:spacing w:line="560" w:lineRule="exact"/>
        <w:ind w:left="0" w:leftChars="0" w:firstLine="640" w:firstLineChars="200"/>
        <w:rPr>
          <w:rFonts w:ascii="仿宋_GB2312" w:hAnsi="仿宋" w:eastAsia="仿宋_GB2312"/>
          <w:sz w:val="32"/>
          <w:szCs w:val="32"/>
        </w:rPr>
      </w:pPr>
    </w:p>
    <w:p>
      <w:pPr>
        <w:pStyle w:val="9"/>
        <w:widowControl w:val="0"/>
        <w:spacing w:line="600" w:lineRule="exact"/>
        <w:rPr>
          <w:rFonts w:ascii="黑体" w:hAnsi="黑体" w:eastAsia="黑体"/>
        </w:rPr>
      </w:pPr>
    </w:p>
    <w:p>
      <w:pPr>
        <w:pStyle w:val="9"/>
        <w:widowControl w:val="0"/>
        <w:spacing w:line="600" w:lineRule="exact"/>
        <w:rPr>
          <w:rFonts w:ascii="黑体" w:hAnsi="黑体" w:eastAsia="黑体"/>
        </w:rPr>
      </w:pPr>
      <w:r>
        <w:rPr>
          <w:rFonts w:hint="eastAsia" w:ascii="黑体" w:hAnsi="黑体" w:eastAsia="黑体"/>
        </w:rPr>
        <w:t>第六章</w:t>
      </w:r>
      <w:r>
        <w:rPr>
          <w:rFonts w:ascii="黑体" w:hAnsi="黑体" w:eastAsia="黑体"/>
        </w:rPr>
        <w:t xml:space="preserve">  </w:t>
      </w:r>
      <w:bookmarkStart w:id="265" w:name="_Toc56346934"/>
      <w:r>
        <w:rPr>
          <w:rFonts w:hint="eastAsia" w:ascii="黑体" w:hAnsi="黑体" w:eastAsia="黑体"/>
        </w:rPr>
        <w:t>高起点谋划和推进重点改革</w:t>
      </w:r>
      <w:bookmarkEnd w:id="256"/>
      <w:bookmarkEnd w:id="257"/>
      <w:bookmarkEnd w:id="258"/>
      <w:bookmarkEnd w:id="259"/>
      <w:bookmarkEnd w:id="260"/>
      <w:bookmarkEnd w:id="261"/>
      <w:bookmarkEnd w:id="262"/>
      <w:bookmarkEnd w:id="263"/>
      <w:bookmarkEnd w:id="264"/>
      <w:bookmarkEnd w:id="265"/>
    </w:p>
    <w:p>
      <w:pPr>
        <w:widowControl w:val="0"/>
        <w:spacing w:line="600" w:lineRule="exact"/>
        <w:ind w:firstLine="617" w:firstLineChars="193"/>
        <w:rPr>
          <w:rFonts w:ascii="仿宋_GB2312" w:hAnsi="仿宋_GB2312" w:eastAsia="仿宋_GB2312" w:cs="仿宋_GB2312"/>
          <w:sz w:val="32"/>
          <w:szCs w:val="32"/>
        </w:rPr>
      </w:pPr>
      <w:r>
        <w:rPr>
          <w:rFonts w:hint="eastAsia" w:ascii="仿宋_GB2312" w:hAnsi="仿宋_GB2312" w:eastAsia="仿宋_GB2312" w:cs="仿宋_GB2312"/>
          <w:sz w:val="32"/>
          <w:szCs w:val="32"/>
        </w:rPr>
        <w:t>立足琼海实际，把接续推进改革同服务全市工作大局结合起来，把深化改革攻坚同促进制度集成结合起来，把推进改革同防范化解风险结合起来，把激发创新活力同凝聚奋进力量结合起来，坚持问题导向，大胆试、大胆闯、自主改，深入推进市域经济体制机制改革，</w:t>
      </w:r>
      <w:r>
        <w:rPr>
          <w:rFonts w:hint="eastAsia" w:ascii="Times New Roman" w:hAnsi="Times New Roman" w:eastAsia="仿宋_GB2312" w:cs="仿宋_GB2312"/>
          <w:sz w:val="32"/>
          <w:szCs w:val="32"/>
        </w:rPr>
        <w:t>充分释放市场活力和社会创造力。</w:t>
      </w:r>
    </w:p>
    <w:p>
      <w:pPr>
        <w:pStyle w:val="9"/>
        <w:widowControl w:val="0"/>
        <w:spacing w:line="580" w:lineRule="exact"/>
        <w:outlineLvl w:val="1"/>
        <w:rPr>
          <w:rFonts w:ascii="仿宋" w:hAnsi="仿宋" w:eastAsia="仿宋" w:cs="仿宋"/>
        </w:rPr>
      </w:pPr>
      <w:bookmarkStart w:id="266" w:name="_Toc3793"/>
      <w:bookmarkStart w:id="267" w:name="_Toc21067"/>
      <w:bookmarkStart w:id="268" w:name="_Toc56346936"/>
      <w:bookmarkStart w:id="269" w:name="_Toc30350"/>
      <w:bookmarkStart w:id="270" w:name="_Toc11498"/>
      <w:bookmarkStart w:id="271" w:name="_Toc2407"/>
      <w:bookmarkStart w:id="272" w:name="_Toc2462"/>
      <w:bookmarkStart w:id="273" w:name="_Toc17841"/>
      <w:bookmarkStart w:id="274" w:name="_Toc12181"/>
      <w:bookmarkStart w:id="275" w:name="_Toc32283"/>
      <w:r>
        <w:rPr>
          <w:rFonts w:hint="eastAsia" w:ascii="楷体" w:hAnsi="楷体" w:eastAsia="楷体" w:cs="楷体"/>
        </w:rPr>
        <w:t>第一节</w:t>
      </w:r>
      <w:r>
        <w:rPr>
          <w:rFonts w:ascii="楷体" w:hAnsi="楷体" w:eastAsia="楷体" w:cs="楷体"/>
        </w:rPr>
        <w:t xml:space="preserve">  </w:t>
      </w:r>
      <w:r>
        <w:rPr>
          <w:rFonts w:hint="eastAsia" w:ascii="楷体" w:hAnsi="楷体" w:eastAsia="楷体" w:cs="楷体"/>
        </w:rPr>
        <w:t>深化用地制度改革</w:t>
      </w:r>
      <w:bookmarkEnd w:id="266"/>
      <w:bookmarkEnd w:id="267"/>
      <w:bookmarkEnd w:id="268"/>
      <w:bookmarkEnd w:id="269"/>
      <w:bookmarkEnd w:id="270"/>
      <w:bookmarkEnd w:id="271"/>
      <w:bookmarkEnd w:id="272"/>
      <w:bookmarkEnd w:id="273"/>
      <w:bookmarkEnd w:id="274"/>
      <w:bookmarkEnd w:id="275"/>
    </w:p>
    <w:p>
      <w:pPr>
        <w:widowControl w:val="0"/>
        <w:spacing w:line="580" w:lineRule="exact"/>
        <w:ind w:firstLine="617" w:firstLineChars="193"/>
        <w:rPr>
          <w:rFonts w:ascii="仿宋_GB2312" w:hAnsi="仿宋_GB2312" w:eastAsia="仿宋_GB2312" w:cs="仿宋_GB2312"/>
          <w:sz w:val="32"/>
          <w:szCs w:val="32"/>
        </w:rPr>
      </w:pPr>
      <w:r>
        <w:rPr>
          <w:rFonts w:hint="eastAsia" w:ascii="仿宋_GB2312" w:hAnsi="仿宋_GB2312" w:eastAsia="仿宋_GB2312" w:cs="仿宋_GB2312"/>
          <w:sz w:val="32"/>
          <w:szCs w:val="32"/>
        </w:rPr>
        <w:t>用好自由贸易港土地改革政策，落实耕地、永久基本农田、林地、建设用地布局调整、规划许可代替转用许可、土地协议出让（出租）、自然保护地建设搬迁腾挪、农村集体土地与国有土地协商置换等政策，保障建设用地。深入实施“只征不转、只转不征、不征不转”“先租后让、租让结合”和点状供地、弹性年期等灵活用地政策。加强土地管理，执行集约用地制度、评价标准以及存量建设用地盘活处置制度，突出抓好“两违”整治和闲置土地处置。</w:t>
      </w:r>
    </w:p>
    <w:p>
      <w:pPr>
        <w:pStyle w:val="9"/>
        <w:widowControl w:val="0"/>
        <w:spacing w:line="580" w:lineRule="exact"/>
        <w:outlineLvl w:val="1"/>
        <w:rPr>
          <w:rFonts w:ascii="楷体" w:hAnsi="楷体" w:eastAsia="楷体" w:cs="楷体"/>
        </w:rPr>
      </w:pPr>
      <w:bookmarkStart w:id="276" w:name="_Toc23247"/>
      <w:bookmarkStart w:id="277" w:name="_Toc29908"/>
      <w:bookmarkStart w:id="278" w:name="_Toc30875"/>
      <w:bookmarkStart w:id="279" w:name="_Toc19258"/>
      <w:bookmarkStart w:id="280" w:name="_Toc56346937"/>
      <w:bookmarkStart w:id="281" w:name="_Toc14770"/>
      <w:bookmarkStart w:id="282" w:name="_Toc29883"/>
      <w:bookmarkStart w:id="283" w:name="_Toc27149"/>
      <w:bookmarkStart w:id="284" w:name="_Toc24744"/>
      <w:bookmarkStart w:id="285" w:name="_Toc19629"/>
      <w:r>
        <w:rPr>
          <w:rFonts w:hint="eastAsia" w:ascii="楷体" w:hAnsi="楷体" w:eastAsia="楷体" w:cs="楷体"/>
        </w:rPr>
        <w:t>第二节</w:t>
      </w:r>
      <w:r>
        <w:rPr>
          <w:rFonts w:ascii="楷体" w:hAnsi="楷体" w:eastAsia="楷体" w:cs="楷体"/>
        </w:rPr>
        <w:t xml:space="preserve">  </w:t>
      </w:r>
      <w:r>
        <w:rPr>
          <w:rFonts w:hint="eastAsia" w:ascii="楷体" w:hAnsi="楷体" w:eastAsia="楷体" w:cs="楷体"/>
        </w:rPr>
        <w:t>推进投融资体制改革</w:t>
      </w:r>
      <w:bookmarkEnd w:id="276"/>
      <w:bookmarkEnd w:id="277"/>
      <w:bookmarkEnd w:id="278"/>
      <w:bookmarkEnd w:id="279"/>
      <w:bookmarkEnd w:id="280"/>
      <w:bookmarkEnd w:id="281"/>
      <w:bookmarkEnd w:id="282"/>
      <w:bookmarkEnd w:id="283"/>
      <w:bookmarkEnd w:id="284"/>
      <w:bookmarkEnd w:id="285"/>
    </w:p>
    <w:p>
      <w:pPr>
        <w:widowControl w:val="0"/>
        <w:spacing w:line="580" w:lineRule="exact"/>
        <w:ind w:firstLine="617" w:firstLineChars="193"/>
        <w:rPr>
          <w:rFonts w:ascii="仿宋_GB2312" w:hAnsi="仿宋_GB2312" w:eastAsia="仿宋_GB2312" w:cs="仿宋_GB2312"/>
          <w:sz w:val="32"/>
          <w:szCs w:val="32"/>
        </w:rPr>
      </w:pPr>
      <w:r>
        <w:rPr>
          <w:rFonts w:hint="eastAsia" w:ascii="仿宋_GB2312" w:hAnsi="仿宋_GB2312" w:eastAsia="仿宋_GB2312" w:cs="仿宋_GB2312"/>
          <w:sz w:val="32"/>
          <w:szCs w:val="32"/>
        </w:rPr>
        <w:t>深化投融资体制改革，发挥有效投资对稳增长调结构的关键作用，规范政府投资项目和资金管理，激发各领域投资活力，加快东部中心城市建设。</w:t>
      </w:r>
    </w:p>
    <w:p>
      <w:pPr>
        <w:widowControl w:val="0"/>
        <w:spacing w:line="580" w:lineRule="exact"/>
        <w:ind w:firstLine="620" w:firstLineChars="193"/>
        <w:rPr>
          <w:rFonts w:ascii="仿宋" w:hAnsi="仿宋" w:eastAsia="仿宋" w:cs="仿宋"/>
          <w:sz w:val="32"/>
          <w:szCs w:val="32"/>
        </w:rPr>
      </w:pPr>
      <w:r>
        <w:rPr>
          <w:rFonts w:hint="eastAsia" w:ascii="楷体" w:hAnsi="楷体" w:eastAsia="楷体" w:cs="楷体"/>
          <w:b/>
          <w:sz w:val="32"/>
          <w:szCs w:val="32"/>
        </w:rPr>
        <w:t>推进投资体制机制改革。</w:t>
      </w:r>
      <w:r>
        <w:rPr>
          <w:rFonts w:hint="eastAsia" w:ascii="仿宋_GB2312" w:hAnsi="仿宋_GB2312" w:eastAsia="仿宋_GB2312" w:cs="仿宋_GB2312"/>
          <w:sz w:val="32"/>
          <w:szCs w:val="32"/>
        </w:rPr>
        <w:t>改善企业投资管理，实行以备案制为主的企业投资管理制度，试行企业投资项目承诺制，建立企业投资项目管理权力清单制度。完善政府投资体制，明确政府投资范围，优化政府投资方式，规范政府投资计划和项目库管理，规范推行代理建设制度，加强政府投资事中事后监管。推进市城投公司由项目管理向资产管理型转型发展，推动自来水公司、旅游发展公司与实力专业公司合作，不断提升公共服务供给能力。</w:t>
      </w:r>
    </w:p>
    <w:p>
      <w:pPr>
        <w:widowControl w:val="0"/>
        <w:spacing w:line="580" w:lineRule="exact"/>
        <w:ind w:firstLine="596" w:firstLineChars="193"/>
        <w:rPr>
          <w:rFonts w:ascii="仿宋" w:hAnsi="仿宋" w:eastAsia="仿宋" w:cs="仿宋"/>
          <w:sz w:val="32"/>
          <w:szCs w:val="32"/>
        </w:rPr>
      </w:pPr>
      <w:r>
        <w:rPr>
          <w:rFonts w:hint="eastAsia" w:ascii="楷体" w:hAnsi="楷体" w:eastAsia="楷体" w:cs="楷体"/>
          <w:b/>
          <w:spacing w:val="-6"/>
          <w:sz w:val="32"/>
          <w:szCs w:val="32"/>
        </w:rPr>
        <w:t>创新投资项目融资机制。</w:t>
      </w:r>
      <w:r>
        <w:rPr>
          <w:rFonts w:hint="eastAsia" w:ascii="仿宋_GB2312" w:hAnsi="仿宋_GB2312" w:eastAsia="仿宋_GB2312" w:cs="仿宋_GB2312"/>
          <w:spacing w:val="-6"/>
          <w:sz w:val="32"/>
          <w:szCs w:val="32"/>
        </w:rPr>
        <w:t>引导琼海金融机构将吸收的存款主要用于支持</w:t>
      </w:r>
      <w:r>
        <w:rPr>
          <w:rFonts w:hint="eastAsia" w:ascii="仿宋_GB2312" w:hAnsi="仿宋_GB2312" w:eastAsia="仿宋_GB2312" w:cs="仿宋_GB2312"/>
          <w:sz w:val="32"/>
          <w:szCs w:val="32"/>
        </w:rPr>
        <w:t>当地</w:t>
      </w:r>
      <w:r>
        <w:rPr>
          <w:rFonts w:hint="eastAsia" w:ascii="仿宋_GB2312" w:hAnsi="仿宋_GB2312" w:eastAsia="仿宋_GB2312" w:cs="仿宋_GB2312"/>
          <w:spacing w:val="-6"/>
          <w:sz w:val="32"/>
          <w:szCs w:val="32"/>
        </w:rPr>
        <w:t>项目建设，争取更多的地方政府债券用于公共</w:t>
      </w:r>
      <w:r>
        <w:rPr>
          <w:rFonts w:hint="eastAsia" w:ascii="仿宋_GB2312" w:hAnsi="仿宋_GB2312" w:eastAsia="仿宋_GB2312" w:cs="仿宋_GB2312"/>
          <w:sz w:val="32"/>
          <w:szCs w:val="32"/>
        </w:rPr>
        <w:t>基础</w:t>
      </w:r>
      <w:r>
        <w:rPr>
          <w:rFonts w:hint="eastAsia" w:ascii="仿宋_GB2312" w:hAnsi="仿宋_GB2312" w:eastAsia="仿宋_GB2312" w:cs="仿宋_GB2312"/>
          <w:spacing w:val="-6"/>
          <w:sz w:val="32"/>
          <w:szCs w:val="32"/>
        </w:rPr>
        <w:t>设施建设，争取发行一般债券用于支持全市纯公益性项目建设。根据中央和省里政府投资项目管理办法要求，扎实做深做细做熟做透</w:t>
      </w:r>
      <w:r>
        <w:rPr>
          <w:rFonts w:hint="eastAsia" w:ascii="仿宋_GB2312" w:hAnsi="仿宋_GB2312" w:eastAsia="仿宋_GB2312" w:cs="仿宋_GB2312"/>
          <w:sz w:val="32"/>
          <w:szCs w:val="32"/>
        </w:rPr>
        <w:t>项目</w:t>
      </w:r>
      <w:r>
        <w:rPr>
          <w:rFonts w:hint="eastAsia" w:ascii="仿宋_GB2312" w:hAnsi="仿宋_GB2312" w:eastAsia="仿宋_GB2312" w:cs="仿宋_GB2312"/>
          <w:spacing w:val="-6"/>
          <w:sz w:val="32"/>
          <w:szCs w:val="32"/>
        </w:rPr>
        <w:t>前期工作，依法依规开展政府和社会资本合作（</w:t>
      </w:r>
      <w:r>
        <w:rPr>
          <w:rFonts w:ascii="仿宋_GB2312" w:hAnsi="仿宋_GB2312" w:eastAsia="仿宋_GB2312" w:cs="仿宋_GB2312"/>
          <w:spacing w:val="-6"/>
          <w:sz w:val="32"/>
          <w:szCs w:val="32"/>
        </w:rPr>
        <w:t>PPP），推进</w:t>
      </w:r>
      <w:r>
        <w:rPr>
          <w:rFonts w:hint="eastAsia" w:ascii="仿宋_GB2312" w:hAnsi="仿宋_GB2312" w:eastAsia="仿宋_GB2312" w:cs="仿宋_GB2312"/>
          <w:spacing w:val="-6"/>
          <w:sz w:val="32"/>
          <w:szCs w:val="32"/>
        </w:rPr>
        <w:t>琼海市文化体育中心</w:t>
      </w:r>
      <w:r>
        <w:rPr>
          <w:rFonts w:ascii="仿宋_GB2312" w:hAnsi="仿宋_GB2312" w:eastAsia="仿宋_GB2312" w:cs="仿宋_GB2312"/>
          <w:spacing w:val="-6"/>
          <w:sz w:val="32"/>
          <w:szCs w:val="32"/>
        </w:rPr>
        <w:t>等基础设施领域不动产投资信托基金（REITs）试点工作。</w:t>
      </w:r>
    </w:p>
    <w:p>
      <w:pPr>
        <w:widowControl w:val="0"/>
        <w:spacing w:line="580" w:lineRule="exact"/>
        <w:ind w:firstLine="596" w:firstLineChars="193"/>
        <w:rPr>
          <w:spacing w:val="-6"/>
        </w:rPr>
      </w:pPr>
      <w:r>
        <w:rPr>
          <w:rFonts w:hint="eastAsia" w:ascii="楷体" w:hAnsi="楷体" w:eastAsia="楷体" w:cs="楷体"/>
          <w:b/>
          <w:spacing w:val="-6"/>
          <w:sz w:val="32"/>
          <w:szCs w:val="32"/>
        </w:rPr>
        <w:t>健全投资项目储备实施机制。</w:t>
      </w:r>
      <w:r>
        <w:rPr>
          <w:rFonts w:hint="eastAsia" w:ascii="仿宋_GB2312" w:hAnsi="仿宋_GB2312" w:eastAsia="仿宋_GB2312" w:cs="仿宋_GB2312"/>
          <w:spacing w:val="-6"/>
          <w:sz w:val="32"/>
          <w:szCs w:val="32"/>
        </w:rPr>
        <w:t>坚持“项目跟着规划走”，编制好重要专项规划，谋划重点项目，加强重点项目储备和滚动接续，形成储备一批、开工一批、在建一批、竣工一批的良性循环。坚持“资金跟着项目走”，加强重点工程项目与财政性建设资金、银行贷款、社会资本等匹配。坚持“要素跟着项目走”，健全重点项目实施制度，</w:t>
      </w:r>
      <w:r>
        <w:rPr>
          <w:rFonts w:hint="eastAsia" w:ascii="仿宋_GB2312" w:hAnsi="仿宋_GB2312" w:eastAsia="仿宋_GB2312" w:cs="仿宋_GB2312"/>
          <w:sz w:val="32"/>
          <w:szCs w:val="32"/>
        </w:rPr>
        <w:t>保障</w:t>
      </w:r>
      <w:r>
        <w:rPr>
          <w:rFonts w:hint="eastAsia" w:ascii="仿宋_GB2312" w:hAnsi="仿宋_GB2312" w:eastAsia="仿宋_GB2312" w:cs="仿宋_GB2312"/>
          <w:spacing w:val="-6"/>
          <w:sz w:val="32"/>
          <w:szCs w:val="32"/>
        </w:rPr>
        <w:t>用地、用海、用能等</w:t>
      </w:r>
      <w:r>
        <w:rPr>
          <w:rFonts w:hint="eastAsia" w:ascii="仿宋_GB2312" w:hAnsi="仿宋_GB2312" w:eastAsia="仿宋_GB2312" w:cs="仿宋_GB2312"/>
          <w:sz w:val="32"/>
          <w:szCs w:val="32"/>
        </w:rPr>
        <w:t>要素</w:t>
      </w:r>
      <w:r>
        <w:rPr>
          <w:rFonts w:hint="eastAsia" w:ascii="仿宋_GB2312" w:hAnsi="仿宋_GB2312" w:eastAsia="仿宋_GB2312" w:cs="仿宋_GB2312"/>
          <w:spacing w:val="-6"/>
          <w:sz w:val="32"/>
          <w:szCs w:val="32"/>
        </w:rPr>
        <w:t>向重点项目倾斜。</w:t>
      </w:r>
    </w:p>
    <w:p>
      <w:pPr>
        <w:pStyle w:val="9"/>
        <w:widowControl w:val="0"/>
        <w:spacing w:line="580" w:lineRule="exact"/>
        <w:outlineLvl w:val="1"/>
        <w:rPr>
          <w:rFonts w:ascii="楷体" w:hAnsi="楷体" w:eastAsia="楷体" w:cs="楷体"/>
        </w:rPr>
      </w:pPr>
      <w:bookmarkStart w:id="286" w:name="_Toc8028"/>
      <w:bookmarkStart w:id="287" w:name="_Toc56346938"/>
      <w:bookmarkStart w:id="288" w:name="_Toc9619"/>
      <w:bookmarkStart w:id="289" w:name="_Toc6785"/>
      <w:bookmarkStart w:id="290" w:name="_Toc9709"/>
      <w:bookmarkStart w:id="291" w:name="_Toc4435"/>
      <w:bookmarkStart w:id="292" w:name="_Toc196"/>
      <w:bookmarkStart w:id="293" w:name="_Toc25600"/>
      <w:bookmarkStart w:id="294" w:name="_Toc25842"/>
      <w:bookmarkStart w:id="295" w:name="_Toc22679"/>
      <w:r>
        <w:rPr>
          <w:rFonts w:hint="eastAsia" w:ascii="楷体" w:hAnsi="楷体" w:eastAsia="楷体" w:cs="楷体"/>
        </w:rPr>
        <w:t>第三节</w:t>
      </w:r>
      <w:r>
        <w:rPr>
          <w:rFonts w:ascii="楷体" w:hAnsi="楷体" w:eastAsia="楷体" w:cs="楷体"/>
        </w:rPr>
        <w:t xml:space="preserve">  </w:t>
      </w:r>
      <w:r>
        <w:rPr>
          <w:rFonts w:hint="eastAsia" w:ascii="楷体" w:hAnsi="楷体" w:eastAsia="楷体" w:cs="楷体"/>
        </w:rPr>
        <w:t>推动产业园区管理体制机制改革</w:t>
      </w:r>
      <w:bookmarkEnd w:id="286"/>
      <w:bookmarkEnd w:id="287"/>
      <w:bookmarkEnd w:id="288"/>
      <w:bookmarkEnd w:id="289"/>
      <w:bookmarkEnd w:id="290"/>
      <w:bookmarkEnd w:id="291"/>
      <w:bookmarkEnd w:id="292"/>
      <w:bookmarkEnd w:id="293"/>
      <w:bookmarkEnd w:id="294"/>
      <w:bookmarkEnd w:id="295"/>
    </w:p>
    <w:p>
      <w:pPr>
        <w:widowControl w:val="0"/>
        <w:spacing w:line="580" w:lineRule="exact"/>
        <w:ind w:firstLine="617" w:firstLineChars="193"/>
        <w:rPr>
          <w:rFonts w:ascii="仿宋_GB2312" w:hAnsi="仿宋_GB2312" w:eastAsia="仿宋_GB2312" w:cs="仿宋_GB2312"/>
          <w:sz w:val="32"/>
          <w:szCs w:val="32"/>
        </w:rPr>
      </w:pPr>
      <w:r>
        <w:rPr>
          <w:rFonts w:hint="eastAsia" w:ascii="仿宋_GB2312" w:hAnsi="仿宋_GB2312" w:eastAsia="仿宋_GB2312" w:cs="仿宋_GB2312"/>
          <w:sz w:val="32"/>
          <w:szCs w:val="32"/>
        </w:rPr>
        <w:t>深入落实重点园区动态调整机制，遵循“分类施策、能进能出、动态管理”原则，推动博鳌临空经济区、龙湾港临港经济区、琼海国家级智能网联示范先导区、大路绿色循环产业园区创建省级、市级产业园区。加强对园区的业务培训指导，强化事中事后监管，支持园区在开发、管理和运营等方面探索制度集成创新，推动园区建设管理向市场化、专业化转变，不断提升园区管理和服务水平。加强园区设施和周边城镇基础设施、公共服务设施的有机衔接，实现区域一体化布局和联动发展。结合智慧海南建设，率先推动智慧园区建设。鼓励社会资本设立产业投资基金，按市场化方式支持园区企业发展，不断增强园区投融资能力和后续发展动力。</w:t>
      </w:r>
    </w:p>
    <w:p>
      <w:pPr>
        <w:pStyle w:val="9"/>
        <w:widowControl w:val="0"/>
        <w:spacing w:line="580" w:lineRule="exact"/>
        <w:outlineLvl w:val="1"/>
        <w:rPr>
          <w:rFonts w:ascii="楷体" w:hAnsi="楷体" w:eastAsia="楷体" w:cs="楷体"/>
        </w:rPr>
      </w:pPr>
      <w:bookmarkStart w:id="296" w:name="_Toc16978"/>
      <w:bookmarkStart w:id="297" w:name="_Toc15480"/>
      <w:bookmarkStart w:id="298" w:name="_Toc31113"/>
      <w:bookmarkStart w:id="299" w:name="_Toc30897"/>
      <w:bookmarkStart w:id="300" w:name="_Toc19774"/>
      <w:bookmarkStart w:id="301" w:name="_Toc21009"/>
      <w:bookmarkStart w:id="302" w:name="_Toc3884"/>
      <w:bookmarkStart w:id="303" w:name="_Toc7555"/>
      <w:bookmarkStart w:id="304" w:name="_Toc19004"/>
      <w:r>
        <w:rPr>
          <w:rFonts w:hint="eastAsia" w:ascii="楷体" w:hAnsi="楷体" w:eastAsia="楷体" w:cs="楷体"/>
        </w:rPr>
        <w:t>第四节</w:t>
      </w:r>
      <w:r>
        <w:rPr>
          <w:rFonts w:ascii="楷体" w:hAnsi="楷体" w:eastAsia="楷体" w:cs="楷体"/>
        </w:rPr>
        <w:t xml:space="preserve">  </w:t>
      </w:r>
      <w:bookmarkStart w:id="305" w:name="_Toc56346940"/>
      <w:r>
        <w:rPr>
          <w:rFonts w:hint="eastAsia" w:ascii="楷体" w:hAnsi="楷体" w:eastAsia="楷体" w:cs="楷体"/>
        </w:rPr>
        <w:t>优化营商环境</w:t>
      </w:r>
      <w:bookmarkEnd w:id="296"/>
      <w:bookmarkEnd w:id="297"/>
      <w:bookmarkEnd w:id="298"/>
      <w:bookmarkEnd w:id="299"/>
      <w:bookmarkEnd w:id="300"/>
      <w:bookmarkEnd w:id="301"/>
      <w:bookmarkEnd w:id="302"/>
      <w:bookmarkEnd w:id="303"/>
      <w:bookmarkEnd w:id="304"/>
      <w:bookmarkEnd w:id="305"/>
    </w:p>
    <w:p>
      <w:pPr>
        <w:widowControl w:val="0"/>
        <w:spacing w:line="600" w:lineRule="exact"/>
        <w:ind w:firstLine="694" w:firstLineChars="217"/>
        <w:rPr>
          <w:rFonts w:ascii="仿宋" w:hAnsi="仿宋" w:eastAsia="仿宋"/>
          <w:sz w:val="32"/>
          <w:szCs w:val="32"/>
        </w:rPr>
      </w:pPr>
      <w:r>
        <w:rPr>
          <w:rFonts w:hint="eastAsia" w:ascii="仿宋_GB2312" w:hAnsi="仿宋_GB2312" w:eastAsia="仿宋_GB2312" w:cs="仿宋_GB2312"/>
          <w:sz w:val="32"/>
          <w:szCs w:val="32"/>
        </w:rPr>
        <w:t>以法治化、国际化、便利化“三化”为目标，以深化“放管服”改革为抓手，以市场主体期待和需求为导向，以对标世界银行营商环境指标体系前沿水平为着眼点，以提高政府管理服务效率为着力点，在全省率先营造国内一流的营商环境。</w:t>
      </w:r>
    </w:p>
    <w:p>
      <w:pPr>
        <w:widowControl w:val="0"/>
        <w:spacing w:line="600" w:lineRule="exact"/>
        <w:ind w:firstLine="697" w:firstLineChars="217"/>
        <w:rPr>
          <w:rFonts w:ascii="仿宋_GB2312" w:hAnsi="仿宋_GB2312" w:eastAsia="仿宋_GB2312" w:cs="仿宋_GB2312"/>
          <w:sz w:val="32"/>
          <w:szCs w:val="32"/>
        </w:rPr>
      </w:pPr>
      <w:r>
        <w:rPr>
          <w:rFonts w:hint="eastAsia" w:ascii="楷体" w:hAnsi="楷体" w:eastAsia="楷体" w:cs="楷体"/>
          <w:b/>
          <w:bCs/>
          <w:sz w:val="32"/>
          <w:szCs w:val="32"/>
        </w:rPr>
        <w:t>优化政务环境。</w:t>
      </w:r>
      <w:r>
        <w:rPr>
          <w:rFonts w:hint="eastAsia" w:ascii="仿宋_GB2312" w:hAnsi="仿宋_GB2312" w:eastAsia="仿宋_GB2312" w:cs="仿宋_GB2312"/>
          <w:sz w:val="32"/>
          <w:szCs w:val="32"/>
        </w:rPr>
        <w:t>继续深化“放管服”改革，大力推动行政审批制度改革，着力构建简约、高效、便民的行政审批服务体制机制，建设服务型政府。实施政务服务标准化，提高市场主体在开办企业、办理施工许可证、获得用电用水用气用通信、登记财产、获得信贷、纳税、执行合同、办理破产等方面的服务水平和办事效率。继续推行工程建设项目审批制度改革。深入实施工程建设项目审批制度改革工作，进一步优化审批流程、压缩审批时限、精简审批环节和简化审批材料。精简投资项目准入手续，探索先建后验管理新模式，实行建设项目联合验收，实行“清单制”“承诺制”“函证结合”“容缺受理”等改革。推行“极简审批”提高审批效率，降低企业成本。扎实推进政务服务标准化、规范化、便利化、公开化，深化“一枚印章管审批”“一支队伍管执法”“一个机构管复议”改革。建立健全服务企业沟通联动机制，不断激发市场活力，为企业发展营造良好环境。</w:t>
      </w:r>
    </w:p>
    <w:p>
      <w:pPr>
        <w:pStyle w:val="15"/>
        <w:widowControl w:val="0"/>
        <w:spacing w:line="600" w:lineRule="exact"/>
        <w:ind w:firstLine="642" w:firstLineChars="200"/>
        <w:rPr>
          <w:rFonts w:ascii="仿宋" w:hAnsi="仿宋" w:eastAsia="仿宋"/>
          <w:color w:val="auto"/>
          <w:sz w:val="32"/>
          <w:szCs w:val="32"/>
        </w:rPr>
      </w:pPr>
      <w:r>
        <w:rPr>
          <w:rFonts w:hint="eastAsia" w:ascii="楷体" w:hAnsi="楷体" w:eastAsia="楷体" w:cs="楷体"/>
          <w:b/>
          <w:bCs/>
          <w:color w:val="auto"/>
          <w:sz w:val="32"/>
          <w:szCs w:val="32"/>
        </w:rPr>
        <w:t>优化市场环境。</w:t>
      </w:r>
      <w:r>
        <w:rPr>
          <w:rFonts w:hint="eastAsia" w:ascii="仿宋_GB2312" w:hAnsi="仿宋_GB2312" w:eastAsia="仿宋_GB2312" w:cs="仿宋_GB2312"/>
          <w:color w:val="auto"/>
          <w:sz w:val="32"/>
          <w:szCs w:val="32"/>
        </w:rPr>
        <w:t>执行国家和海南省市场准入负面清单，做到“非禁即入”。实现市场监管“双随机、一公开”统一化、常态化。实施企业经营异常和严重违法失信企业“两个名单”管理。实行企业信用风险分类监管，试行合格假定监管模式。提升政府性融资担保机构服务水平，降低中小微企业融资担保费用。</w:t>
      </w:r>
    </w:p>
    <w:p>
      <w:pPr>
        <w:pStyle w:val="15"/>
        <w:widowControl w:val="0"/>
        <w:spacing w:line="600" w:lineRule="exact"/>
        <w:ind w:firstLine="642" w:firstLineChars="200"/>
        <w:rPr>
          <w:rFonts w:ascii="仿宋" w:hAnsi="仿宋" w:eastAsia="仿宋"/>
          <w:color w:val="auto"/>
          <w:sz w:val="32"/>
          <w:szCs w:val="32"/>
        </w:rPr>
      </w:pPr>
      <w:bookmarkStart w:id="306" w:name="_Toc9548"/>
      <w:bookmarkStart w:id="307" w:name="_Toc1964"/>
      <w:bookmarkStart w:id="308" w:name="_Toc8949"/>
      <w:bookmarkStart w:id="309" w:name="_Toc31733"/>
      <w:bookmarkStart w:id="310" w:name="_Toc11255"/>
      <w:r>
        <w:rPr>
          <w:rFonts w:hint="eastAsia" w:ascii="楷体" w:hAnsi="楷体" w:eastAsia="楷体" w:cs="楷体"/>
          <w:b/>
          <w:bCs/>
          <w:color w:val="auto"/>
          <w:sz w:val="32"/>
          <w:szCs w:val="32"/>
        </w:rPr>
        <w:t>优化社会人文环境。</w:t>
      </w:r>
      <w:r>
        <w:rPr>
          <w:rFonts w:hint="eastAsia" w:ascii="仿宋_GB2312" w:hAnsi="仿宋_GB2312" w:eastAsia="仿宋_GB2312" w:cs="仿宋_GB2312"/>
          <w:color w:val="auto"/>
          <w:sz w:val="32"/>
          <w:szCs w:val="32"/>
        </w:rPr>
        <w:t>加大城区公共服务配套设施建设力度，打造高品质宜居环境。完善引进人才任职、居留、社保、医疗、住房保障、子女教育、家属就业等配套政策。重视支持企业家创业发展，评选表彰优秀企业家，提升企业家政治荣誉感，开通优秀企业家绿色服务通道，为企业家就医、子女入学等做好服务。</w:t>
      </w:r>
    </w:p>
    <w:p>
      <w:pPr>
        <w:pStyle w:val="15"/>
        <w:widowControl w:val="0"/>
        <w:spacing w:line="600" w:lineRule="exact"/>
        <w:ind w:firstLine="642" w:firstLineChars="200"/>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健全社会信用体系建设。</w:t>
      </w:r>
      <w:r>
        <w:rPr>
          <w:rFonts w:hint="eastAsia" w:ascii="仿宋_GB2312" w:hAnsi="仿宋_GB2312" w:eastAsia="仿宋_GB2312" w:cs="仿宋_GB2312"/>
          <w:color w:val="auto"/>
          <w:sz w:val="32"/>
          <w:szCs w:val="32"/>
        </w:rPr>
        <w:t>坚持政府推进、社会共建原则，加快应用信用信息共享平台，提升公共信用信息共享水平，实现公共信用信息归集全覆盖。持续深化政务诚信、商务诚信、社会诚信、司法公信建设，着力推进旅游、农业、互联网电子商务、医疗健康、金融、会议会展、现代物流、房地产、生态文明等重点行业领域信用建设。加强诚信教育，全面建成守信激励和失信惩戒机制，努力营造“诚信为本、守信为荣、失信为耻、无信为忧”的社会氛围。以信用监管为着力点，建立健全贯穿市场主体全生命周期、衔接事前事中事后全监管环节的新型监管机制。</w:t>
      </w:r>
    </w:p>
    <w:p>
      <w:pPr>
        <w:pStyle w:val="15"/>
        <w:widowControl w:val="0"/>
        <w:spacing w:line="600" w:lineRule="exact"/>
        <w:ind w:firstLine="640" w:firstLineChars="200"/>
        <w:rPr>
          <w:rFonts w:ascii="仿宋_GB2312" w:hAnsi="仿宋_GB2312" w:eastAsia="仿宋_GB2312" w:cs="仿宋_GB2312"/>
          <w:color w:val="auto"/>
          <w:sz w:val="32"/>
          <w:szCs w:val="32"/>
        </w:rPr>
      </w:pPr>
    </w:p>
    <w:p>
      <w:pPr>
        <w:pStyle w:val="9"/>
        <w:widowControl w:val="0"/>
        <w:spacing w:line="560" w:lineRule="exact"/>
        <w:rPr>
          <w:rFonts w:ascii="黑体" w:hAnsi="黑体" w:eastAsia="黑体"/>
        </w:rPr>
      </w:pPr>
      <w:bookmarkStart w:id="311" w:name="_Toc27335"/>
      <w:bookmarkStart w:id="312" w:name="_Toc1984"/>
      <w:bookmarkStart w:id="313" w:name="_Toc4585"/>
      <w:bookmarkStart w:id="314" w:name="_Toc19862"/>
      <w:r>
        <w:rPr>
          <w:rFonts w:hint="eastAsia" w:ascii="黑体" w:hAnsi="黑体" w:eastAsia="黑体"/>
        </w:rPr>
        <w:t>第七章</w:t>
      </w:r>
      <w:r>
        <w:rPr>
          <w:rFonts w:ascii="黑体" w:hAnsi="黑体" w:eastAsia="黑体"/>
        </w:rPr>
        <w:t xml:space="preserve">  </w:t>
      </w:r>
      <w:bookmarkEnd w:id="306"/>
      <w:bookmarkEnd w:id="307"/>
      <w:bookmarkEnd w:id="308"/>
      <w:bookmarkEnd w:id="309"/>
      <w:bookmarkEnd w:id="310"/>
      <w:bookmarkEnd w:id="311"/>
      <w:bookmarkEnd w:id="312"/>
      <w:r>
        <w:rPr>
          <w:rFonts w:hint="eastAsia" w:ascii="黑体" w:hAnsi="黑体" w:eastAsia="黑体"/>
        </w:rPr>
        <w:t>深入实施乡村振兴战略</w:t>
      </w:r>
      <w:bookmarkEnd w:id="313"/>
      <w:bookmarkEnd w:id="314"/>
    </w:p>
    <w:p>
      <w:pPr>
        <w:widowControl w:val="0"/>
        <w:spacing w:line="580" w:lineRule="exact"/>
        <w:ind w:firstLine="624" w:firstLineChars="195"/>
        <w:rPr>
          <w:rFonts w:ascii="仿宋_GB2312" w:hAnsi="仿宋_GB2312" w:eastAsia="仿宋_GB2312" w:cs="仿宋_GB2312"/>
          <w:sz w:val="32"/>
          <w:szCs w:val="32"/>
        </w:rPr>
      </w:pPr>
      <w:r>
        <w:rPr>
          <w:rFonts w:hint="eastAsia" w:ascii="仿宋_GB2312" w:hAnsi="仿宋_GB2312" w:eastAsia="仿宋_GB2312" w:cs="仿宋_GB2312"/>
          <w:sz w:val="32"/>
          <w:szCs w:val="32"/>
        </w:rPr>
        <w:t>坚持把实施乡村振兴战略作为新时代“三农”工作总抓手，坚持农业农村优先发展，推进农业农村现代化，促进农业高质高效、乡村宜居宜业、农民富裕富足</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32"/>
        </w:rPr>
        <w:t>把琼海建设成为国家乡村振兴战略示范区。</w:t>
      </w:r>
    </w:p>
    <w:p>
      <w:pPr>
        <w:pStyle w:val="9"/>
        <w:widowControl w:val="0"/>
        <w:spacing w:line="640" w:lineRule="exact"/>
        <w:ind w:firstLine="626" w:firstLineChars="195"/>
        <w:outlineLvl w:val="1"/>
        <w:rPr>
          <w:rFonts w:ascii="仿宋_GB2312" w:hAnsi="Times New Roman" w:eastAsia="仿宋_GB2312"/>
        </w:rPr>
      </w:pPr>
      <w:r>
        <w:rPr>
          <w:rFonts w:hint="eastAsia" w:ascii="楷体" w:hAnsi="楷体" w:eastAsia="楷体"/>
        </w:rPr>
        <w:t>第一节</w:t>
      </w:r>
      <w:r>
        <w:rPr>
          <w:rFonts w:ascii="楷体" w:hAnsi="楷体" w:eastAsia="楷体"/>
        </w:rPr>
        <w:t xml:space="preserve">  </w:t>
      </w:r>
      <w:r>
        <w:rPr>
          <w:rFonts w:hint="eastAsia" w:ascii="楷体" w:hAnsi="楷体" w:eastAsia="楷体"/>
        </w:rPr>
        <w:t>推进巩固脱贫攻坚成果同乡村振兴有效衔接</w:t>
      </w:r>
      <w:r>
        <w:rPr>
          <w:rFonts w:ascii="楷体" w:hAnsi="楷体" w:eastAsia="楷体"/>
        </w:rPr>
        <w:tab/>
      </w:r>
    </w:p>
    <w:p>
      <w:pPr>
        <w:widowControl w:val="0"/>
        <w:spacing w:line="6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持续巩固拓展脱贫攻坚成果，保持过渡期帮扶政策、资金支持、帮扶力量总体稳定，切实做到摘帽不摘责任、不摘政策、不摘帮扶，不摘监管。健全防止返贫监测和帮扶机制，事前预防与事后帮扶相结合。继续对脱贫村、脱贫人口，边缘人开展监测，持续跟踪脱贫户收入变化和“两不愁三保障”巩固情况、对返贫人口和新发生贫困人口及时进行分类帮扶。对特殊贫困群体，落实落细低保、医保、养老保险、特困人员救助供养、临时救助等综合社会保障政策，实现应保尽保。建立稳定脱贫长效机制，强化产业扶贫，组织消费扶贫，做实农产品公益性销售平台；加大培训力度，促进转移就业，让贫困群众有稳定的工作岗位。</w:t>
      </w:r>
    </w:p>
    <w:p>
      <w:pPr>
        <w:pStyle w:val="9"/>
        <w:widowControl w:val="0"/>
        <w:spacing w:line="600" w:lineRule="exact"/>
        <w:outlineLvl w:val="1"/>
        <w:rPr>
          <w:rFonts w:ascii="楷体" w:hAnsi="楷体" w:eastAsia="楷体" w:cs="楷体"/>
        </w:rPr>
      </w:pPr>
      <w:r>
        <w:rPr>
          <w:rFonts w:hint="eastAsia" w:ascii="楷体" w:hAnsi="楷体" w:eastAsia="楷体" w:cs="楷体"/>
        </w:rPr>
        <w:t>第二节</w:t>
      </w:r>
      <w:r>
        <w:rPr>
          <w:rFonts w:ascii="楷体" w:hAnsi="楷体" w:eastAsia="楷体" w:cs="楷体"/>
        </w:rPr>
        <w:t xml:space="preserve">  </w:t>
      </w:r>
      <w:r>
        <w:rPr>
          <w:rFonts w:hint="eastAsia" w:ascii="楷体" w:hAnsi="楷体" w:eastAsia="楷体" w:cs="楷体"/>
        </w:rPr>
        <w:t>持续深化农村改革</w:t>
      </w:r>
    </w:p>
    <w:p>
      <w:pPr>
        <w:widowControl w:val="0"/>
        <w:spacing w:line="600" w:lineRule="exact"/>
        <w:ind w:firstLine="617" w:firstLineChars="193"/>
        <w:rPr>
          <w:rFonts w:ascii="仿宋_GB2312" w:hAnsi="仿宋_GB2312" w:eastAsia="仿宋_GB2312" w:cs="仿宋_GB2312"/>
          <w:sz w:val="32"/>
          <w:szCs w:val="32"/>
        </w:rPr>
      </w:pPr>
      <w:r>
        <w:rPr>
          <w:rFonts w:hint="eastAsia" w:ascii="仿宋_GB2312" w:hAnsi="仿宋_GB2312" w:eastAsia="仿宋_GB2312" w:cs="仿宋_GB2312"/>
          <w:sz w:val="32"/>
          <w:szCs w:val="32"/>
        </w:rPr>
        <w:t>落实农村土地征收制度改革政策，规范土地征收程序，完善对被征地农民合理、规范、多元保障机制。落实农村经营性建设用地入市政策，执行农村集体经营性建设用地产权制度。落实农村宅基地制度改革政策，推进宅基地所有权、资格权、使用权“三权分置”。落实乡村产业发展用地政策体系，强化农业设施用地监管。开展土地经营权入股发展农业产业化经营试点。扎实推进房地一体的农村集体建设用地和宅基地使用权确权登记颁。</w:t>
      </w:r>
      <w:r>
        <w:rPr>
          <w:rFonts w:hint="eastAsia" w:ascii="仿宋_GB2312" w:hAnsi="仿宋_GB2312" w:eastAsia="仿宋_GB2312" w:cs="仿宋_GB2312"/>
          <w:spacing w:val="-6"/>
          <w:sz w:val="32"/>
          <w:szCs w:val="32"/>
        </w:rPr>
        <w:t>大力引进和培育农业产业化龙头企业、农民合作社、家庭农场等新型经营主体，发展多种形式适度规模经营，完善农业补贴政策，健全农业专业化社会化服务体系，实现小农户和现代农业发展有机衔接。</w:t>
      </w:r>
      <w:r>
        <w:rPr>
          <w:rFonts w:hint="eastAsia" w:ascii="仿宋_GB2312" w:hAnsi="仿宋_GB2312" w:eastAsia="仿宋_GB2312" w:cs="仿宋_GB2312"/>
          <w:sz w:val="32"/>
          <w:szCs w:val="32"/>
        </w:rPr>
        <w:t>坚持市场化改革方向，激活经营机制，按照垦地融合发展原则，重点推进垦区资源资产整合、产业优化升级、科技创新成果转化和土地资源资产化资本化，促进城乡和垦地协调发展。</w:t>
      </w:r>
    </w:p>
    <w:p>
      <w:pPr>
        <w:pStyle w:val="9"/>
        <w:widowControl w:val="0"/>
        <w:spacing w:line="580" w:lineRule="exact"/>
        <w:outlineLvl w:val="1"/>
        <w:rPr>
          <w:rFonts w:ascii="楷体" w:hAnsi="楷体" w:eastAsia="楷体"/>
        </w:rPr>
      </w:pPr>
      <w:bookmarkStart w:id="315" w:name="_Toc8901"/>
      <w:bookmarkStart w:id="316" w:name="_Toc3127"/>
      <w:bookmarkStart w:id="317" w:name="_Toc29277"/>
      <w:bookmarkStart w:id="318" w:name="_Toc18972"/>
      <w:bookmarkStart w:id="319" w:name="_Toc7723"/>
      <w:bookmarkStart w:id="320" w:name="_Toc237"/>
      <w:bookmarkStart w:id="321" w:name="_Toc56346956"/>
      <w:bookmarkStart w:id="322" w:name="_Toc6316"/>
      <w:bookmarkStart w:id="323" w:name="_Toc17762"/>
      <w:bookmarkStart w:id="324" w:name="_Toc13236"/>
      <w:bookmarkStart w:id="325" w:name="_Toc27274"/>
      <w:r>
        <w:rPr>
          <w:rFonts w:hint="eastAsia" w:ascii="楷体" w:hAnsi="楷体" w:eastAsia="楷体"/>
        </w:rPr>
        <w:t>第三节</w:t>
      </w:r>
      <w:r>
        <w:rPr>
          <w:rFonts w:ascii="楷体" w:hAnsi="楷体" w:eastAsia="楷体"/>
        </w:rPr>
        <w:t xml:space="preserve">  </w:t>
      </w:r>
      <w:bookmarkEnd w:id="315"/>
      <w:bookmarkEnd w:id="316"/>
      <w:bookmarkEnd w:id="317"/>
      <w:bookmarkEnd w:id="318"/>
      <w:bookmarkEnd w:id="319"/>
      <w:bookmarkEnd w:id="320"/>
      <w:bookmarkEnd w:id="321"/>
      <w:bookmarkEnd w:id="322"/>
      <w:bookmarkEnd w:id="323"/>
      <w:bookmarkEnd w:id="324"/>
      <w:bookmarkEnd w:id="325"/>
      <w:r>
        <w:rPr>
          <w:rFonts w:hint="eastAsia" w:ascii="楷体" w:hAnsi="楷体" w:eastAsia="楷体"/>
        </w:rPr>
        <w:t>做精做优热带高效农业</w:t>
      </w:r>
    </w:p>
    <w:p>
      <w:pPr>
        <w:widowControl w:val="0"/>
        <w:spacing w:line="580" w:lineRule="exact"/>
        <w:ind w:firstLine="624" w:firstLineChars="195"/>
        <w:rPr>
          <w:rFonts w:ascii="Times New Roman" w:hAnsi="Times New Roman" w:eastAsia="仿宋_GB2312" w:cs="仿宋_GB2312"/>
          <w:sz w:val="32"/>
          <w:szCs w:val="32"/>
        </w:rPr>
      </w:pPr>
      <w:r>
        <w:rPr>
          <w:rFonts w:hint="eastAsia" w:ascii="仿宋_GB2312" w:hAnsi="仿宋_GB2312" w:eastAsia="仿宋_GB2312" w:cs="仿宋_GB2312"/>
          <w:sz w:val="32"/>
          <w:szCs w:val="32"/>
        </w:rPr>
        <w:t>促进农村一二三产业融合发展，推动农业产业化、精品化、品牌化，提高农业质量效益和竞争力。提质升级发展热带水果、花卉苗木、热带经济作物、优质粮油、冬季瓜菜、特色畜禽养殖和海洋渔业等具有琼海特色的热带农业，着力强化优质高效绿色农产品的有效供给。发展热带农业内部融合、产业链延伸、功能拓展、新技术渗透、产城融合、多业态复合等类型的农村产业融合发展示范园。深入实施藏粮于地、藏粮于技战略，加强高标准农田建设，提升耕地地力水平。提升水利基础设施服务农业发展的水平，推进热带农业机械化、信息化，提升农产品质量和食品安全水平。</w:t>
      </w:r>
      <w:r>
        <w:rPr>
          <w:rFonts w:hint="eastAsia" w:ascii="Times New Roman" w:hAnsi="Times New Roman" w:eastAsia="仿宋_GB2312" w:cs="仿宋_GB2312"/>
          <w:sz w:val="32"/>
          <w:szCs w:val="32"/>
        </w:rPr>
        <w:t>加强“三品一标”培育认证（登记），</w:t>
      </w:r>
      <w:r>
        <w:rPr>
          <w:rFonts w:hint="eastAsia" w:ascii="仿宋_GB2312" w:hAnsi="仿宋_GB2312" w:eastAsia="仿宋_GB2312" w:cs="仿宋_GB2312"/>
          <w:sz w:val="32"/>
          <w:szCs w:val="32"/>
        </w:rPr>
        <w:t>强化农业科技推广，提高土地产出率和劳动生产率。完善农产品市场流通体系，积极培育休闲农业、农村电商等新产业新业态。</w:t>
      </w:r>
      <w:r>
        <w:rPr>
          <w:rFonts w:hint="eastAsia" w:ascii="Times New Roman" w:hAnsi="Times New Roman" w:eastAsia="仿宋_GB2312" w:cs="仿宋_GB2312"/>
          <w:sz w:val="32"/>
          <w:szCs w:val="32"/>
        </w:rPr>
        <w:t>引导渔民“往岸上走、往深海走、往休闲渔业走”，建设潭门海洋牧场示范区，发展休闲渔业，促进当地渔民转产转业。以专业园区和基地建设，夯实农业产业基础。发展跨境电子商务，推动形成农产品的“全球买”和“全球卖”。</w:t>
      </w:r>
    </w:p>
    <w:p>
      <w:pPr>
        <w:widowControl w:val="0"/>
        <w:rPr>
          <w:rFonts w:ascii="Times New Roman" w:hAnsi="Times New Roman" w:eastAsia="仿宋_GB2312" w:cs="仿宋_GB2312"/>
          <w:sz w:val="32"/>
          <w:szCs w:val="32"/>
        </w:rPr>
      </w:pPr>
    </w:p>
    <w:tbl>
      <w:tblPr>
        <w:tblStyle w:val="1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288" w:type="dxa"/>
          </w:tcPr>
          <w:p>
            <w:pPr>
              <w:widowControl w:val="0"/>
              <w:spacing w:line="580" w:lineRule="exact"/>
              <w:ind w:firstLine="548" w:firstLineChars="195"/>
              <w:jc w:val="center"/>
              <w:rPr>
                <w:rFonts w:ascii="Times New Roman" w:hAnsi="Times New Roman" w:eastAsia="黑体"/>
                <w:b/>
                <w:sz w:val="28"/>
                <w:szCs w:val="28"/>
              </w:rPr>
            </w:pPr>
            <w:r>
              <w:rPr>
                <w:rFonts w:hint="eastAsia" w:ascii="黑体" w:hAnsi="黑体" w:eastAsia="黑体"/>
                <w:b/>
                <w:sz w:val="28"/>
                <w:szCs w:val="28"/>
              </w:rPr>
              <w:t>专栏</w:t>
            </w:r>
            <w:r>
              <w:rPr>
                <w:rFonts w:ascii="黑体" w:hAnsi="黑体" w:eastAsia="黑体"/>
                <w:b/>
                <w:sz w:val="28"/>
                <w:szCs w:val="28"/>
              </w:rPr>
              <w:t>1</w:t>
            </w:r>
            <w:r>
              <w:rPr>
                <w:rFonts w:hint="eastAsia" w:ascii="黑体" w:hAnsi="黑体" w:eastAsia="黑体"/>
                <w:b/>
                <w:sz w:val="28"/>
                <w:szCs w:val="28"/>
              </w:rPr>
              <w:t>2</w:t>
            </w:r>
            <w:r>
              <w:rPr>
                <w:rFonts w:ascii="黑体" w:hAnsi="黑体" w:eastAsia="黑体"/>
                <w:b/>
                <w:sz w:val="28"/>
                <w:szCs w:val="28"/>
              </w:rPr>
              <w:t>：“十四五”时期琼海涉农重点工程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8" w:type="dxa"/>
          </w:tcPr>
          <w:p>
            <w:pPr>
              <w:pStyle w:val="3"/>
              <w:widowControl w:val="0"/>
              <w:spacing w:line="520" w:lineRule="exact"/>
              <w:ind w:firstLine="562" w:firstLineChars="200"/>
              <w:rPr>
                <w:rFonts w:ascii="楷体_GB2312" w:hAnsi="楷体_GB2312" w:eastAsia="楷体_GB2312" w:cs="楷体_GB2312"/>
                <w:b/>
                <w:color w:val="FF0000"/>
                <w:sz w:val="28"/>
                <w:szCs w:val="28"/>
              </w:rPr>
            </w:pPr>
            <w:r>
              <w:rPr>
                <w:rFonts w:ascii="楷体_GB2312" w:hAnsi="楷体_GB2312" w:eastAsia="楷体_GB2312" w:cs="楷体_GB2312"/>
                <w:b/>
                <w:color w:val="FF0000"/>
                <w:sz w:val="28"/>
                <w:szCs w:val="28"/>
              </w:rPr>
              <w:t>01.潭门渔港经济区</w:t>
            </w:r>
          </w:p>
          <w:p>
            <w:pPr>
              <w:pStyle w:val="3"/>
              <w:widowControl w:val="0"/>
              <w:spacing w:line="52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扩建潭门中心渔港，完善渔港配套设施和基本服务功能。立足于“港、渔、景”3大资源优势，整合潭门中心渔港、当地特色产业和旅游资源，建设集渔业生产服务、休闲渔业、滨海旅游等为一体的渔港经济区。推进渔业转型升级，促进潭门渔港经济区一二三产业融合发展。</w:t>
            </w:r>
          </w:p>
          <w:p>
            <w:pPr>
              <w:pStyle w:val="3"/>
              <w:widowControl w:val="0"/>
              <w:spacing w:line="520" w:lineRule="exact"/>
              <w:ind w:firstLine="562" w:firstLineChars="200"/>
              <w:rPr>
                <w:rFonts w:ascii="楷体_GB2312" w:hAnsi="楷体_GB2312" w:eastAsia="楷体_GB2312" w:cs="楷体_GB2312"/>
                <w:b/>
                <w:sz w:val="28"/>
                <w:szCs w:val="28"/>
              </w:rPr>
            </w:pPr>
            <w:r>
              <w:rPr>
                <w:rFonts w:ascii="楷体_GB2312" w:hAnsi="楷体_GB2312" w:eastAsia="楷体_GB2312" w:cs="楷体_GB2312"/>
                <w:b/>
                <w:sz w:val="28"/>
                <w:szCs w:val="28"/>
              </w:rPr>
              <w:t>02.国家级潭门海洋牧场示范区</w:t>
            </w:r>
          </w:p>
          <w:p>
            <w:pPr>
              <w:pStyle w:val="3"/>
              <w:widowControl w:val="0"/>
              <w:spacing w:line="520" w:lineRule="exact"/>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sz w:val="28"/>
                <w:szCs w:val="28"/>
              </w:rPr>
              <w:t>建设增养殖型和休闲娱乐型相结合的海洋牧场。通过建设大型人工鱼礁群和海草床，通过珊瑚礁修复和生物资源增养殖等方式，恢复及养护海洋生态和渔业资源。结合休闲垂钓、海上观光和潜水等休闲旅游项目提升海洋经济，形成“渔业与旅游互补、多产业并行”的发展布局。</w:t>
            </w:r>
          </w:p>
          <w:p>
            <w:pPr>
              <w:pStyle w:val="3"/>
              <w:widowControl w:val="0"/>
              <w:spacing w:line="520" w:lineRule="exact"/>
              <w:ind w:firstLine="562" w:firstLineChars="200"/>
              <w:rPr>
                <w:rFonts w:ascii="楷体_GB2312" w:hAnsi="楷体_GB2312" w:eastAsia="楷体_GB2312" w:cs="楷体_GB2312"/>
                <w:b/>
                <w:sz w:val="28"/>
                <w:szCs w:val="28"/>
              </w:rPr>
            </w:pPr>
            <w:r>
              <w:rPr>
                <w:rFonts w:ascii="楷体_GB2312" w:hAnsi="楷体_GB2312" w:eastAsia="楷体_GB2312" w:cs="楷体_GB2312"/>
                <w:b/>
                <w:sz w:val="28"/>
                <w:szCs w:val="28"/>
              </w:rPr>
              <w:t>03.省部级畜禽标准化养殖示范场</w:t>
            </w:r>
          </w:p>
          <w:p>
            <w:pPr>
              <w:pStyle w:val="3"/>
              <w:widowControl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创建2—3家省部级畜禽标准化养殖示范场。</w:t>
            </w:r>
          </w:p>
          <w:p>
            <w:pPr>
              <w:pStyle w:val="3"/>
              <w:widowControl w:val="0"/>
              <w:spacing w:line="52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04</w:t>
            </w:r>
            <w:r>
              <w:rPr>
                <w:rFonts w:ascii="楷体" w:hAnsi="楷体" w:eastAsia="楷体" w:cs="楷体"/>
                <w:b/>
                <w:bCs/>
                <w:sz w:val="28"/>
                <w:szCs w:val="28"/>
              </w:rPr>
              <w:t>.</w:t>
            </w:r>
            <w:r>
              <w:rPr>
                <w:rFonts w:hint="eastAsia" w:ascii="楷体" w:hAnsi="楷体" w:eastAsia="楷体" w:cs="楷体"/>
                <w:b/>
                <w:bCs/>
                <w:sz w:val="28"/>
                <w:szCs w:val="28"/>
              </w:rPr>
              <w:t>鲜友</w:t>
            </w:r>
            <w:r>
              <w:rPr>
                <w:rFonts w:ascii="楷体" w:hAnsi="楷体" w:eastAsia="楷体" w:cs="楷体"/>
                <w:b/>
                <w:bCs/>
                <w:sz w:val="28"/>
                <w:szCs w:val="28"/>
              </w:rPr>
              <w:t>年产31000吨果蔬深加工项目</w:t>
            </w:r>
          </w:p>
          <w:p>
            <w:pPr>
              <w:pStyle w:val="3"/>
              <w:widowControl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建设年产</w:t>
            </w:r>
            <w:r>
              <w:rPr>
                <w:rFonts w:ascii="仿宋_GB2312" w:hAnsi="仿宋_GB2312" w:eastAsia="仿宋_GB2312" w:cs="仿宋_GB2312"/>
                <w:sz w:val="28"/>
                <w:szCs w:val="28"/>
              </w:rPr>
              <w:t>31000</w:t>
            </w:r>
            <w:r>
              <w:rPr>
                <w:rFonts w:hint="eastAsia" w:ascii="仿宋_GB2312" w:hAnsi="仿宋_GB2312" w:eastAsia="仿宋_GB2312" w:cs="仿宋_GB2312"/>
                <w:sz w:val="28"/>
                <w:szCs w:val="28"/>
              </w:rPr>
              <w:t>吨的</w:t>
            </w:r>
            <w:r>
              <w:rPr>
                <w:rFonts w:ascii="仿宋_GB2312" w:hAnsi="仿宋_GB2312" w:eastAsia="仿宋_GB2312" w:cs="仿宋_GB2312"/>
                <w:sz w:val="28"/>
                <w:szCs w:val="28"/>
              </w:rPr>
              <w:t>果蔬深加工项目</w:t>
            </w:r>
            <w:r>
              <w:rPr>
                <w:rFonts w:hint="eastAsia" w:ascii="仿宋_GB2312" w:hAnsi="仿宋_GB2312" w:eastAsia="仿宋_GB2312" w:cs="仿宋_GB2312"/>
                <w:sz w:val="28"/>
                <w:szCs w:val="28"/>
              </w:rPr>
              <w:t>、包括厂房、冷藏库、仓库、生产线、办公用房、员工宿舍、食堂等。</w:t>
            </w:r>
          </w:p>
          <w:p>
            <w:pPr>
              <w:pStyle w:val="3"/>
              <w:widowControl w:val="0"/>
              <w:spacing w:line="52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05</w:t>
            </w:r>
            <w:r>
              <w:rPr>
                <w:rFonts w:ascii="楷体" w:hAnsi="楷体" w:eastAsia="楷体" w:cs="楷体"/>
                <w:b/>
                <w:bCs/>
                <w:sz w:val="28"/>
                <w:szCs w:val="28"/>
              </w:rPr>
              <w:t>.</w:t>
            </w:r>
            <w:r>
              <w:rPr>
                <w:rFonts w:hint="eastAsia" w:ascii="楷体" w:hAnsi="楷体" w:eastAsia="楷体" w:cs="楷体"/>
                <w:b/>
                <w:bCs/>
                <w:sz w:val="28"/>
                <w:szCs w:val="28"/>
              </w:rPr>
              <w:t>中原甄想记椰子加工厂扩建项目</w:t>
            </w:r>
          </w:p>
          <w:p>
            <w:pPr>
              <w:pStyle w:val="3"/>
              <w:widowControl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建设标准化厂房三栋、物流仓库一座、行政办公楼一栋、员工宿舍楼</w:t>
            </w:r>
            <w:r>
              <w:rPr>
                <w:rFonts w:ascii="仿宋_GB2312" w:hAnsi="仿宋_GB2312" w:eastAsia="仿宋_GB2312" w:cs="仿宋_GB2312"/>
                <w:sz w:val="28"/>
                <w:szCs w:val="28"/>
              </w:rPr>
              <w:t>一栋</w:t>
            </w:r>
            <w:r>
              <w:rPr>
                <w:rFonts w:hint="eastAsia" w:ascii="仿宋_GB2312" w:hAnsi="仿宋_GB2312" w:eastAsia="仿宋_GB2312" w:cs="仿宋_GB2312"/>
                <w:sz w:val="28"/>
                <w:szCs w:val="28"/>
              </w:rPr>
              <w:t>，以及相关配套工程。</w:t>
            </w:r>
          </w:p>
          <w:p>
            <w:pPr>
              <w:pStyle w:val="3"/>
              <w:widowControl w:val="0"/>
              <w:spacing w:line="52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06</w:t>
            </w:r>
            <w:r>
              <w:rPr>
                <w:rFonts w:ascii="楷体" w:hAnsi="楷体" w:eastAsia="楷体" w:cs="楷体"/>
                <w:b/>
                <w:bCs/>
                <w:sz w:val="28"/>
                <w:szCs w:val="28"/>
              </w:rPr>
              <w:t>.塔洋镇菜篮子农业基地</w:t>
            </w:r>
            <w:r>
              <w:rPr>
                <w:rFonts w:hint="eastAsia" w:ascii="楷体" w:hAnsi="楷体" w:eastAsia="楷体" w:cs="楷体"/>
                <w:b/>
                <w:bCs/>
                <w:sz w:val="28"/>
                <w:szCs w:val="28"/>
              </w:rPr>
              <w:t>项目</w:t>
            </w:r>
          </w:p>
          <w:p>
            <w:pPr>
              <w:pStyle w:val="3"/>
              <w:widowControl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建设15个1040亩菜篮子农业基地项目，推广集约化高效农业模式，扩大琼海市菜篮子农业优势，重点推出特色热带水果“番石榴”、“柠檬”以及本地瓜菜、养殖品牌如“千秋酸菜”“澳洲龙虾”等，同时把菜篮子基地作为对外开放农业示范基地供合作参观。</w:t>
            </w:r>
          </w:p>
          <w:p>
            <w:pPr>
              <w:pStyle w:val="3"/>
              <w:widowControl w:val="0"/>
              <w:spacing w:line="520" w:lineRule="exact"/>
              <w:ind w:firstLine="562" w:firstLineChars="200"/>
              <w:rPr>
                <w:rFonts w:ascii="楷体" w:hAnsi="楷体" w:eastAsia="楷体" w:cs="楷体"/>
                <w:b/>
                <w:bCs/>
                <w:sz w:val="28"/>
                <w:szCs w:val="28"/>
              </w:rPr>
            </w:pPr>
            <w:r>
              <w:rPr>
                <w:rFonts w:ascii="楷体" w:hAnsi="楷体" w:eastAsia="楷体" w:cs="楷体"/>
                <w:b/>
                <w:bCs/>
                <w:sz w:val="28"/>
                <w:szCs w:val="28"/>
              </w:rPr>
              <w:t>0</w:t>
            </w:r>
            <w:r>
              <w:rPr>
                <w:rFonts w:hint="eastAsia" w:ascii="楷体" w:hAnsi="楷体" w:eastAsia="楷体" w:cs="楷体"/>
                <w:b/>
                <w:bCs/>
                <w:sz w:val="28"/>
                <w:szCs w:val="28"/>
              </w:rPr>
              <w:t>7</w:t>
            </w:r>
            <w:r>
              <w:rPr>
                <w:rFonts w:ascii="楷体" w:hAnsi="楷体" w:eastAsia="楷体" w:cs="楷体"/>
                <w:b/>
                <w:bCs/>
                <w:sz w:val="28"/>
                <w:szCs w:val="28"/>
              </w:rPr>
              <w:t>.</w:t>
            </w:r>
            <w:r>
              <w:rPr>
                <w:rFonts w:hint="eastAsia" w:ascii="楷体" w:hAnsi="楷体" w:eastAsia="楷体" w:cs="楷体"/>
                <w:b/>
                <w:bCs/>
                <w:sz w:val="28"/>
                <w:szCs w:val="28"/>
              </w:rPr>
              <w:t>塔洋镇基本农田水利设施建设项目</w:t>
            </w:r>
          </w:p>
          <w:p>
            <w:pPr>
              <w:pStyle w:val="3"/>
              <w:widowControl w:val="0"/>
              <w:spacing w:line="520" w:lineRule="exact"/>
              <w:ind w:firstLine="560" w:firstLineChars="200"/>
              <w:rPr>
                <w:rFonts w:ascii="楷体_GB2312" w:hAnsi="Times New Roman" w:eastAsia="仿宋_GB2312"/>
                <w:b/>
                <w:sz w:val="28"/>
                <w:szCs w:val="28"/>
              </w:rPr>
            </w:pPr>
            <w:r>
              <w:rPr>
                <w:rFonts w:hint="eastAsia" w:ascii="仿宋_GB2312" w:hAnsi="仿宋_GB2312" w:eastAsia="仿宋_GB2312" w:cs="仿宋_GB2312"/>
                <w:sz w:val="28"/>
                <w:szCs w:val="28"/>
              </w:rPr>
              <w:t>全面维修各种蓄、引、堤、防等水利工程设施和各种大小灌排渠系，维修支渠以上渠道21公里，田间斗、农渠道56公里；新建渠道用于澳洲龙虾和罗非鱼养殖基地；修复暴雨洪涝灾害和台风水毁工程；全面清理维修苦楝头主干渠、文岭水库东干渠塔洋段，以及各村各大小田洋支渠、斗渠、农渠、毛渠；建设冬修水利镇级标准示范段总长500米；新建田间斗、农渠道等25公里。</w:t>
            </w:r>
          </w:p>
          <w:p>
            <w:pPr>
              <w:pStyle w:val="3"/>
              <w:widowControl w:val="0"/>
              <w:spacing w:line="520" w:lineRule="exact"/>
              <w:ind w:firstLine="562" w:firstLineChars="200"/>
              <w:rPr>
                <w:rFonts w:ascii="楷体_GB2312" w:hAnsi="Times New Roman" w:eastAsia="楷体_GB2312"/>
                <w:b/>
                <w:sz w:val="28"/>
                <w:szCs w:val="28"/>
              </w:rPr>
            </w:pPr>
            <w:r>
              <w:rPr>
                <w:rFonts w:hint="eastAsia" w:ascii="楷体_GB2312" w:hAnsi="Times New Roman" w:eastAsia="楷体_GB2312"/>
                <w:b/>
                <w:sz w:val="28"/>
                <w:szCs w:val="28"/>
              </w:rPr>
              <w:t>08.高标准农田建设项目</w:t>
            </w:r>
          </w:p>
          <w:p>
            <w:pPr>
              <w:pStyle w:val="3"/>
              <w:widowControl w:val="0"/>
              <w:spacing w:line="520" w:lineRule="exact"/>
              <w:ind w:firstLine="560" w:firstLineChars="200"/>
              <w:rPr>
                <w:rFonts w:ascii="楷体_GB2312" w:hAnsi="Times New Roman" w:eastAsia="楷体_GB2312"/>
                <w:b/>
                <w:sz w:val="28"/>
                <w:szCs w:val="28"/>
              </w:rPr>
            </w:pPr>
            <w:r>
              <w:rPr>
                <w:rFonts w:hint="eastAsia" w:ascii="仿宋_GB2312" w:hAnsi="仿宋_GB2312" w:eastAsia="仿宋_GB2312" w:cs="仿宋_GB2312"/>
                <w:sz w:val="28"/>
                <w:szCs w:val="28"/>
              </w:rPr>
              <w:t>加快推进我市高标准农田建设项目，做到“旱能灌、涝能排”，不断提升耕地质量。</w:t>
            </w:r>
          </w:p>
          <w:p>
            <w:pPr>
              <w:pStyle w:val="3"/>
              <w:widowControl w:val="0"/>
              <w:spacing w:line="520" w:lineRule="exact"/>
              <w:ind w:firstLine="562" w:firstLineChars="200"/>
              <w:rPr>
                <w:rFonts w:ascii="楷体_GB2312" w:hAnsi="Times New Roman" w:eastAsia="楷体_GB2312"/>
                <w:b/>
                <w:sz w:val="28"/>
                <w:szCs w:val="28"/>
              </w:rPr>
            </w:pPr>
            <w:r>
              <w:rPr>
                <w:rFonts w:hint="eastAsia" w:ascii="楷体_GB2312" w:hAnsi="Times New Roman" w:eastAsia="楷体_GB2312"/>
                <w:b/>
                <w:sz w:val="28"/>
                <w:szCs w:val="28"/>
              </w:rPr>
              <w:t>09.潭门中心渔港升级改造项目</w:t>
            </w:r>
          </w:p>
          <w:p>
            <w:pPr>
              <w:pStyle w:val="3"/>
              <w:widowControl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对潭门中心渔港进行升级改造，包括新建休闲渔业码头、锚地航道疏浚、防波堤加固、人行观光栈桥、改扩建道路和新建环港路等。</w:t>
            </w:r>
          </w:p>
          <w:p>
            <w:pPr>
              <w:pStyle w:val="3"/>
              <w:widowControl w:val="0"/>
              <w:spacing w:line="520" w:lineRule="exact"/>
              <w:ind w:firstLine="562" w:firstLineChars="200"/>
              <w:rPr>
                <w:rFonts w:ascii="楷体_GB2312" w:hAnsi="Times New Roman" w:eastAsia="楷体_GB2312"/>
                <w:b/>
                <w:sz w:val="28"/>
                <w:szCs w:val="28"/>
              </w:rPr>
            </w:pPr>
            <w:r>
              <w:rPr>
                <w:rFonts w:hint="eastAsia" w:ascii="楷体_GB2312" w:hAnsi="Times New Roman" w:eastAsia="楷体_GB2312"/>
                <w:b/>
                <w:sz w:val="28"/>
                <w:szCs w:val="28"/>
              </w:rPr>
              <w:t>10.塔洋镇澳龙养殖基地项目</w:t>
            </w:r>
          </w:p>
          <w:p>
            <w:pPr>
              <w:pStyle w:val="3"/>
              <w:widowControl w:val="0"/>
              <w:spacing w:line="520" w:lineRule="exact"/>
              <w:ind w:firstLine="560" w:firstLineChars="200"/>
              <w:rPr>
                <w:rFonts w:ascii="仿宋" w:hAnsi="仿宋" w:eastAsia="仿宋" w:cs="仿宋"/>
                <w:sz w:val="28"/>
                <w:szCs w:val="28"/>
              </w:rPr>
            </w:pPr>
            <w:r>
              <w:rPr>
                <w:rFonts w:hint="eastAsia" w:ascii="仿宋_GB2312" w:hAnsi="仿宋_GB2312" w:eastAsia="仿宋_GB2312" w:cs="仿宋_GB2312"/>
                <w:sz w:val="28"/>
                <w:szCs w:val="28"/>
              </w:rPr>
              <w:t>建设200亩澳龙养殖基地，配备氧机、水泵、发电机，打深水井、改造电网和整塘工程等。</w:t>
            </w:r>
          </w:p>
        </w:tc>
      </w:tr>
    </w:tbl>
    <w:p>
      <w:pPr>
        <w:pStyle w:val="9"/>
        <w:widowControl w:val="0"/>
        <w:spacing w:line="560" w:lineRule="exact"/>
        <w:outlineLvl w:val="1"/>
        <w:rPr>
          <w:rFonts w:ascii="楷体" w:hAnsi="楷体" w:eastAsia="楷体"/>
        </w:rPr>
      </w:pPr>
      <w:bookmarkStart w:id="326" w:name="_Toc56346975"/>
      <w:bookmarkStart w:id="327" w:name="_Toc3241"/>
      <w:bookmarkStart w:id="328" w:name="_Toc24204"/>
      <w:bookmarkStart w:id="329" w:name="_Toc23447"/>
      <w:bookmarkStart w:id="330" w:name="_Toc6837"/>
      <w:bookmarkStart w:id="331" w:name="_Toc2991"/>
      <w:bookmarkStart w:id="332" w:name="_Toc5775"/>
      <w:bookmarkStart w:id="333" w:name="_Toc23072"/>
      <w:bookmarkStart w:id="334" w:name="_Toc816"/>
      <w:bookmarkStart w:id="335" w:name="_Toc26806"/>
      <w:bookmarkStart w:id="336" w:name="_Toc8504"/>
      <w:bookmarkStart w:id="337" w:name="_Toc13116"/>
      <w:bookmarkStart w:id="338" w:name="_Toc22973452"/>
      <w:bookmarkStart w:id="339" w:name="_Toc2106"/>
      <w:bookmarkStart w:id="340" w:name="_Toc56346960"/>
      <w:bookmarkStart w:id="341" w:name="_Toc22973451"/>
      <w:r>
        <w:rPr>
          <w:rFonts w:hint="eastAsia" w:ascii="楷体" w:hAnsi="楷体" w:eastAsia="楷体"/>
        </w:rPr>
        <w:t>第四节</w:t>
      </w:r>
      <w:r>
        <w:rPr>
          <w:rFonts w:ascii="楷体" w:hAnsi="楷体" w:eastAsia="楷体"/>
        </w:rPr>
        <w:t xml:space="preserve">  </w:t>
      </w:r>
      <w:bookmarkEnd w:id="326"/>
      <w:bookmarkEnd w:id="327"/>
      <w:r>
        <w:rPr>
          <w:rFonts w:hint="eastAsia" w:ascii="楷体" w:hAnsi="楷体" w:eastAsia="楷体"/>
        </w:rPr>
        <w:t>实施乡村建设行动</w:t>
      </w:r>
      <w:bookmarkEnd w:id="328"/>
      <w:bookmarkEnd w:id="329"/>
      <w:bookmarkEnd w:id="330"/>
      <w:bookmarkEnd w:id="331"/>
      <w:bookmarkEnd w:id="332"/>
      <w:bookmarkEnd w:id="333"/>
      <w:bookmarkEnd w:id="334"/>
      <w:bookmarkEnd w:id="335"/>
      <w:bookmarkEnd w:id="336"/>
    </w:p>
    <w:p>
      <w:pPr>
        <w:widowControl w:val="0"/>
        <w:spacing w:line="580" w:lineRule="exact"/>
        <w:ind w:firstLine="624" w:firstLineChars="195"/>
        <w:rPr>
          <w:rFonts w:ascii="仿宋_GB2312" w:hAnsi="仿宋_GB2312" w:eastAsia="仿宋_GB2312" w:cs="仿宋_GB2312"/>
          <w:sz w:val="32"/>
          <w:szCs w:val="32"/>
        </w:rPr>
      </w:pPr>
      <w:r>
        <w:rPr>
          <w:rFonts w:hint="eastAsia" w:ascii="仿宋_GB2312" w:hAnsi="仿宋_GB2312" w:eastAsia="仿宋_GB2312" w:cs="仿宋_GB2312"/>
          <w:sz w:val="32"/>
          <w:szCs w:val="32"/>
        </w:rPr>
        <w:t>继续把公共基础设施建设的重点放在农村，接续推进农村人居环境整治提升行动。根据市国土空间总体规划，通盘考虑农村土地利用、产业发展、居民点布局、人居环境整治、生态保护和历史文化传承等，不断优化村庄布局，编制或完善“多规合一”的实用性村庄规划，确保乡村发展与自贸港建设同步推进。保护传统村落、历史名村、苗族村寨、红色村寨、滨海渔村。持续完善乡村水、电、路、气、通信、广播、电视、物流等基础设施，实现公共设施一体化规划建设。以建设美丽宜居村庄为目标，以农村垃圾治理、农村污水治理、农村“厕所革命”和村容村貌提升为主攻方向，加快补齐全市农村人居环境突出短板。推行服务绩效评价考核机制，健全“有制度、有标准、有队伍、有经费、有督查”的村庄人居环境建设管护长效机制。提升“美丽海南百镇千村”建设水平。推动城镇差异化发展，打造美丽乡村集群。引入多元投资，支持企业与村民合作共享，发展标准化民宿和乡村旅游，促进农业与琼海特色文化结合，发展农旅产业。</w:t>
      </w:r>
    </w:p>
    <w:p>
      <w:pPr>
        <w:widowControl w:val="0"/>
        <w:spacing w:line="580" w:lineRule="exact"/>
        <w:ind w:firstLine="624" w:firstLineChars="195"/>
        <w:rPr>
          <w:rFonts w:ascii="仿宋_GB2312" w:hAnsi="仿宋_GB2312" w:eastAsia="仿宋_GB2312" w:cs="仿宋_GB2312"/>
          <w:sz w:val="32"/>
          <w:szCs w:val="32"/>
        </w:rPr>
      </w:pPr>
      <w:bookmarkStart w:id="342" w:name="_Toc789"/>
      <w:bookmarkStart w:id="343" w:name="_Toc6880"/>
      <w:bookmarkStart w:id="344" w:name="_Toc22442"/>
      <w:bookmarkStart w:id="345" w:name="_Toc19358"/>
      <w:bookmarkStart w:id="346" w:name="_Toc19928"/>
      <w:bookmarkStart w:id="347" w:name="_Toc29836"/>
      <w:bookmarkStart w:id="348" w:name="_Toc11497"/>
      <w:bookmarkStart w:id="349" w:name="_Toc25228"/>
      <w:bookmarkStart w:id="350" w:name="_Toc213"/>
      <w:bookmarkStart w:id="351" w:name="_Toc11684"/>
    </w:p>
    <w:tbl>
      <w:tblPr>
        <w:tblStyle w:val="1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288" w:type="dxa"/>
          </w:tcPr>
          <w:p>
            <w:pPr>
              <w:widowControl w:val="0"/>
              <w:spacing w:line="460" w:lineRule="exact"/>
              <w:jc w:val="center"/>
              <w:rPr>
                <w:rFonts w:ascii="黑体" w:hAnsi="黑体" w:eastAsia="黑体"/>
                <w:b/>
                <w:sz w:val="28"/>
                <w:szCs w:val="28"/>
              </w:rPr>
            </w:pPr>
            <w:r>
              <w:rPr>
                <w:rFonts w:hint="eastAsia" w:ascii="黑体" w:hAnsi="黑体" w:eastAsia="黑体"/>
                <w:b/>
                <w:sz w:val="28"/>
                <w:szCs w:val="28"/>
              </w:rPr>
              <w:t>专栏</w:t>
            </w:r>
            <w:r>
              <w:rPr>
                <w:rFonts w:ascii="黑体" w:hAnsi="黑体" w:eastAsia="黑体"/>
                <w:b/>
                <w:sz w:val="28"/>
                <w:szCs w:val="28"/>
              </w:rPr>
              <w:t>1</w:t>
            </w:r>
            <w:r>
              <w:rPr>
                <w:rFonts w:hint="eastAsia" w:ascii="黑体" w:hAnsi="黑体" w:eastAsia="黑体"/>
                <w:b/>
                <w:sz w:val="28"/>
                <w:szCs w:val="28"/>
              </w:rPr>
              <w:t>3</w:t>
            </w:r>
            <w:r>
              <w:rPr>
                <w:rFonts w:ascii="黑体" w:hAnsi="黑体" w:eastAsia="黑体"/>
                <w:b/>
                <w:sz w:val="28"/>
                <w:szCs w:val="28"/>
              </w:rPr>
              <w:t>：“十四五”时期琼海市整治农村人居环境重点任务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8" w:type="dxa"/>
          </w:tcPr>
          <w:p>
            <w:pPr>
              <w:pStyle w:val="15"/>
              <w:spacing w:line="520" w:lineRule="exact"/>
              <w:ind w:left="199" w:leftChars="95" w:firstLine="281" w:firstLineChars="100"/>
              <w:rPr>
                <w:rFonts w:ascii="楷体_GB2312" w:hAnsi="楷体_GB2312" w:eastAsia="楷体_GB2312" w:cs="楷体_GB2312"/>
                <w:b/>
                <w:color w:val="auto"/>
                <w:sz w:val="28"/>
                <w:szCs w:val="28"/>
              </w:rPr>
            </w:pPr>
            <w:r>
              <w:rPr>
                <w:rFonts w:ascii="楷体_GB2312" w:hAnsi="楷体_GB2312" w:eastAsia="楷体_GB2312" w:cs="楷体_GB2312"/>
                <w:b/>
                <w:color w:val="auto"/>
                <w:sz w:val="28"/>
                <w:szCs w:val="28"/>
              </w:rPr>
              <w:t>0</w:t>
            </w:r>
            <w:r>
              <w:rPr>
                <w:rFonts w:hint="eastAsia" w:ascii="楷体_GB2312" w:hAnsi="楷体_GB2312" w:eastAsia="楷体_GB2312" w:cs="楷体_GB2312"/>
                <w:b/>
                <w:color w:val="auto"/>
                <w:sz w:val="28"/>
                <w:szCs w:val="28"/>
              </w:rPr>
              <w:t>1</w:t>
            </w:r>
            <w:r>
              <w:rPr>
                <w:rFonts w:ascii="楷体_GB2312" w:hAnsi="楷体_GB2312" w:eastAsia="楷体_GB2312" w:cs="楷体_GB2312"/>
                <w:b/>
                <w:color w:val="auto"/>
                <w:sz w:val="28"/>
                <w:szCs w:val="28"/>
              </w:rPr>
              <w:t>.农村“厕所革命”</w:t>
            </w:r>
          </w:p>
          <w:p>
            <w:pPr>
              <w:pStyle w:val="15"/>
              <w:spacing w:line="520" w:lineRule="exact"/>
              <w:ind w:left="199" w:leftChars="95" w:firstLine="280" w:firstLineChars="100"/>
              <w:rPr>
                <w:rFonts w:ascii="仿宋_GB2312" w:hAnsi="Times New Roman" w:eastAsia="仿宋_GB2312"/>
                <w:color w:val="auto"/>
                <w:sz w:val="28"/>
                <w:szCs w:val="28"/>
              </w:rPr>
            </w:pPr>
            <w:r>
              <w:rPr>
                <w:rFonts w:hint="eastAsia" w:ascii="仿宋_GB2312" w:hAnsi="Times New Roman" w:eastAsia="仿宋_GB2312"/>
                <w:color w:val="auto"/>
                <w:sz w:val="28"/>
                <w:szCs w:val="28"/>
              </w:rPr>
              <w:t>在十三五期间全面完成农村改厕任务的基础上，完成农村户用厕所防渗漏改造工作任务，做好后续农村卫生厕所设施维护管理工作。</w:t>
            </w:r>
          </w:p>
          <w:p>
            <w:pPr>
              <w:pStyle w:val="15"/>
              <w:spacing w:line="520" w:lineRule="exact"/>
              <w:ind w:left="199" w:leftChars="95" w:firstLine="281" w:firstLineChars="100"/>
              <w:rPr>
                <w:rFonts w:ascii="楷体_GB2312" w:hAnsi="楷体_GB2312" w:eastAsia="楷体_GB2312" w:cs="楷体_GB2312"/>
                <w:b/>
                <w:color w:val="auto"/>
                <w:sz w:val="28"/>
                <w:szCs w:val="28"/>
              </w:rPr>
            </w:pPr>
            <w:r>
              <w:rPr>
                <w:rFonts w:ascii="楷体_GB2312" w:hAnsi="楷体_GB2312" w:eastAsia="楷体_GB2312" w:cs="楷体_GB2312"/>
                <w:b/>
                <w:color w:val="auto"/>
                <w:sz w:val="28"/>
                <w:szCs w:val="28"/>
              </w:rPr>
              <w:t>0</w:t>
            </w:r>
            <w:r>
              <w:rPr>
                <w:rFonts w:hint="eastAsia" w:ascii="楷体_GB2312" w:hAnsi="楷体_GB2312" w:eastAsia="楷体_GB2312" w:cs="楷体_GB2312"/>
                <w:b/>
                <w:color w:val="auto"/>
                <w:sz w:val="28"/>
                <w:szCs w:val="28"/>
              </w:rPr>
              <w:t>2</w:t>
            </w:r>
            <w:r>
              <w:rPr>
                <w:rFonts w:ascii="楷体_GB2312" w:hAnsi="楷体_GB2312" w:eastAsia="楷体_GB2312" w:cs="楷体_GB2312"/>
                <w:b/>
                <w:color w:val="auto"/>
                <w:sz w:val="28"/>
                <w:szCs w:val="28"/>
              </w:rPr>
              <w:t>.农业废弃物综合利用规模化生物天然气项目</w:t>
            </w:r>
          </w:p>
          <w:p>
            <w:pPr>
              <w:pStyle w:val="15"/>
              <w:spacing w:line="520" w:lineRule="exact"/>
              <w:ind w:left="199" w:leftChars="95" w:firstLine="268" w:firstLineChars="100"/>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建设年处理量</w:t>
            </w:r>
            <w:r>
              <w:rPr>
                <w:rFonts w:ascii="仿宋_GB2312" w:hAnsi="仿宋_GB2312" w:eastAsia="仿宋_GB2312" w:cs="仿宋_GB2312"/>
                <w:color w:val="auto"/>
                <w:spacing w:val="-6"/>
                <w:sz w:val="28"/>
                <w:szCs w:val="28"/>
              </w:rPr>
              <w:t>13.87万吨，年产生物天然气912万m³，沼渣5.5万吨的生物天然气工程，包括秸秆厂房、配套系统、公用工程系统和应急系统等。</w:t>
            </w:r>
          </w:p>
          <w:p>
            <w:pPr>
              <w:pStyle w:val="15"/>
              <w:widowControl w:val="0"/>
              <w:spacing w:line="520" w:lineRule="exact"/>
              <w:ind w:left="199" w:leftChars="95" w:firstLine="281" w:firstLineChars="100"/>
              <w:jc w:val="both"/>
              <w:rPr>
                <w:rFonts w:ascii="仿宋_GB2312" w:hAnsi="仿宋_GB2312" w:eastAsia="仿宋_GB2312" w:cs="仿宋_GB2312"/>
                <w:b/>
                <w:color w:val="auto"/>
                <w:sz w:val="28"/>
                <w:szCs w:val="28"/>
              </w:rPr>
            </w:pPr>
            <w:r>
              <w:rPr>
                <w:rFonts w:ascii="楷体" w:hAnsi="楷体" w:eastAsia="楷体" w:cs="楷体"/>
                <w:b/>
                <w:color w:val="auto"/>
                <w:sz w:val="28"/>
                <w:szCs w:val="28"/>
              </w:rPr>
              <w:t>0</w:t>
            </w:r>
            <w:r>
              <w:rPr>
                <w:rFonts w:hint="eastAsia" w:ascii="楷体" w:hAnsi="楷体" w:eastAsia="楷体" w:cs="楷体"/>
                <w:b/>
                <w:color w:val="auto"/>
                <w:sz w:val="28"/>
                <w:szCs w:val="28"/>
              </w:rPr>
              <w:t>3</w:t>
            </w:r>
            <w:r>
              <w:rPr>
                <w:rFonts w:ascii="楷体" w:hAnsi="楷体" w:eastAsia="楷体" w:cs="楷体"/>
                <w:b/>
                <w:color w:val="auto"/>
                <w:sz w:val="28"/>
                <w:szCs w:val="28"/>
              </w:rPr>
              <w:t>.</w:t>
            </w:r>
            <w:r>
              <w:rPr>
                <w:rFonts w:hint="eastAsia" w:ascii="楷体" w:hAnsi="楷体" w:eastAsia="楷体" w:cs="楷体"/>
                <w:b/>
                <w:color w:val="auto"/>
                <w:sz w:val="28"/>
                <w:szCs w:val="28"/>
              </w:rPr>
              <w:t>琼海市农村生活污水治理项目</w:t>
            </w:r>
          </w:p>
          <w:p>
            <w:pPr>
              <w:pStyle w:val="15"/>
              <w:spacing w:line="520" w:lineRule="exact"/>
              <w:ind w:left="199" w:leftChars="95" w:firstLine="280" w:firstLineChars="1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修建完善2056</w:t>
            </w:r>
            <w:r>
              <w:rPr>
                <w:rFonts w:ascii="仿宋_GB2312" w:hAnsi="仿宋_GB2312" w:eastAsia="仿宋_GB2312" w:cs="仿宋_GB2312"/>
                <w:color w:val="auto"/>
                <w:sz w:val="28"/>
                <w:szCs w:val="28"/>
              </w:rPr>
              <w:t>个自然村生活污水治理设施，包括污水干支管、污水处理站、污水提升泵站、分散处理设备、格栅井、结合井、化粪池等。</w:t>
            </w:r>
          </w:p>
          <w:p>
            <w:pPr>
              <w:pStyle w:val="3"/>
              <w:widowControl w:val="0"/>
              <w:spacing w:line="520" w:lineRule="exact"/>
              <w:ind w:firstLine="562" w:firstLineChars="200"/>
              <w:rPr>
                <w:rFonts w:ascii="仿宋" w:hAnsi="仿宋" w:eastAsia="仿宋" w:cs="仿宋"/>
                <w:sz w:val="28"/>
                <w:szCs w:val="28"/>
              </w:rPr>
            </w:pPr>
            <w:r>
              <w:rPr>
                <w:rFonts w:hint="eastAsia" w:ascii="楷体_GB2312" w:hAnsi="Times New Roman" w:eastAsia="楷体_GB2312"/>
                <w:b/>
                <w:sz w:val="28"/>
                <w:szCs w:val="28"/>
              </w:rPr>
              <w:t>04.百镇千村建设工程</w:t>
            </w:r>
          </w:p>
          <w:p>
            <w:pPr>
              <w:pStyle w:val="15"/>
              <w:spacing w:line="520" w:lineRule="exact"/>
              <w:ind w:left="199" w:leftChars="95" w:firstLine="280" w:firstLineChars="1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以博鳌精品美丽乡村建设集群为样板，引入社会资本，多渠道筹资提升打造美丽乡村和特色小镇。</w:t>
            </w:r>
          </w:p>
        </w:tc>
      </w:tr>
      <w:bookmarkEnd w:id="342"/>
      <w:bookmarkEnd w:id="343"/>
      <w:bookmarkEnd w:id="344"/>
      <w:bookmarkEnd w:id="345"/>
      <w:bookmarkEnd w:id="346"/>
      <w:bookmarkEnd w:id="347"/>
      <w:bookmarkEnd w:id="348"/>
      <w:bookmarkEnd w:id="349"/>
      <w:bookmarkEnd w:id="350"/>
      <w:bookmarkEnd w:id="351"/>
    </w:tbl>
    <w:p>
      <w:pPr>
        <w:widowControl w:val="0"/>
        <w:spacing w:line="600" w:lineRule="exact"/>
        <w:ind w:firstLine="642" w:firstLineChars="200"/>
        <w:jc w:val="center"/>
        <w:rPr>
          <w:rFonts w:ascii="楷体" w:hAnsi="楷体" w:eastAsia="楷体" w:cstheme="minorBidi"/>
          <w:b/>
          <w:sz w:val="32"/>
          <w:szCs w:val="32"/>
        </w:rPr>
      </w:pPr>
      <w:bookmarkStart w:id="352" w:name="_Toc56346967"/>
      <w:bookmarkStart w:id="353" w:name="_Toc7524"/>
      <w:bookmarkStart w:id="354" w:name="_Toc18312"/>
      <w:bookmarkStart w:id="355" w:name="_Toc11993"/>
      <w:bookmarkStart w:id="356" w:name="_Toc3319"/>
      <w:bookmarkStart w:id="357" w:name="_Toc4884"/>
      <w:bookmarkStart w:id="358" w:name="_Toc29536"/>
      <w:bookmarkStart w:id="359" w:name="_Toc12595"/>
    </w:p>
    <w:p>
      <w:pPr>
        <w:widowControl w:val="0"/>
        <w:spacing w:line="600" w:lineRule="exact"/>
        <w:ind w:firstLine="642" w:firstLineChars="200"/>
        <w:jc w:val="center"/>
        <w:rPr>
          <w:rFonts w:ascii="黑体" w:hAnsi="黑体" w:eastAsia="黑体"/>
        </w:rPr>
      </w:pPr>
      <w:r>
        <w:rPr>
          <w:rFonts w:hint="eastAsia" w:ascii="楷体" w:hAnsi="楷体" w:eastAsia="楷体" w:cstheme="minorBidi"/>
          <w:b/>
          <w:sz w:val="32"/>
          <w:szCs w:val="32"/>
        </w:rPr>
        <w:t>第五节  推进数字乡村试点</w:t>
      </w:r>
    </w:p>
    <w:p>
      <w:pPr>
        <w:pStyle w:val="9"/>
        <w:widowControl w:val="0"/>
        <w:spacing w:before="0" w:after="0" w:line="600" w:lineRule="exact"/>
        <w:ind w:firstLine="640" w:firstLineChars="200"/>
        <w:jc w:val="both"/>
        <w:outlineLvl w:val="9"/>
        <w:rPr>
          <w:rFonts w:ascii="仿宋_GB2312" w:hAnsi="Times New Roman" w:eastAsia="仿宋_GB2312" w:cs="黑体"/>
          <w:b w:val="0"/>
        </w:rPr>
      </w:pPr>
      <w:r>
        <w:rPr>
          <w:rFonts w:hint="eastAsia" w:ascii="仿宋_GB2312" w:hAnsi="Times New Roman" w:eastAsia="仿宋_GB2312" w:cs="黑体"/>
          <w:b w:val="0"/>
        </w:rPr>
        <w:t>积极推进数字乡村试点，弥合城乡数字鸿沟，有效释放数字红利，生成乡村发展新动能，促进农业农村经济社会数字化转型。开展数字乡村整体规划设计，完善乡村新一代信息基础设施，统筹推进数字乡村和智慧城市建设，促进城乡融合发展。发展乡村数字经济新业态，大幅提高农业生产智能化、经营网络化水平。建立乡村数字治理体系、公共服务体系。</w:t>
      </w:r>
    </w:p>
    <w:p>
      <w:pPr>
        <w:pStyle w:val="9"/>
        <w:widowControl w:val="0"/>
        <w:spacing w:line="560" w:lineRule="exact"/>
        <w:outlineLvl w:val="1"/>
        <w:rPr>
          <w:rFonts w:ascii="仿宋_GB2312" w:hAnsi="仿宋_GB2312" w:eastAsia="仿宋_GB2312" w:cs="仿宋_GB2312"/>
        </w:rPr>
      </w:pPr>
      <w:r>
        <w:rPr>
          <w:rFonts w:hint="eastAsia" w:ascii="楷体" w:hAnsi="楷体" w:eastAsia="楷体"/>
        </w:rPr>
        <w:t>第六节  提高乡村善治水平</w:t>
      </w:r>
    </w:p>
    <w:p>
      <w:pPr>
        <w:widowControl w:val="0"/>
        <w:spacing w:line="580" w:lineRule="exact"/>
        <w:ind w:firstLine="624" w:firstLineChars="195"/>
        <w:rPr>
          <w:rFonts w:ascii="仿宋_GB2312" w:hAnsi="仿宋_GB2312" w:eastAsia="仿宋_GB2312" w:cs="仿宋_GB2312"/>
          <w:sz w:val="32"/>
          <w:szCs w:val="32"/>
        </w:rPr>
      </w:pPr>
      <w:r>
        <w:rPr>
          <w:rFonts w:hint="eastAsia" w:ascii="仿宋_GB2312" w:hAnsi="仿宋_GB2312" w:eastAsia="仿宋_GB2312" w:cs="仿宋_GB2312"/>
          <w:sz w:val="32"/>
          <w:szCs w:val="32"/>
        </w:rPr>
        <w:t>加强和改进乡村治理，加快构建党组织领导的乡村治理体系。完善“一核两委一会”乡村治理机制，坚持以自治增活力、以法治强保障、以德治扬正气，健全党组织领导的自治、法治、德治相结合的乡村治理体系。推进乡村治理数字化，构建共建共治共享的社会治理格局。全面实施村级事务阳光工程，完善党务、村务、财务“三公开”制度。规范乡村小微权力运行，明确每项权力行使的法规依据、运行范围、执行主体、程序步骤。加快推动新型为农服务体系建设，推进农村管理服务智能化。提高农民科技文化素质，培育新型职业农民，推动乡村人才振兴。</w:t>
      </w:r>
    </w:p>
    <w:p>
      <w:pPr>
        <w:ind w:firstLine="643"/>
        <w:rPr>
          <w:rFonts w:ascii="仿宋_GB2312" w:hAnsi="Times New Roman" w:eastAsia="仿宋_GB2312"/>
          <w:b/>
        </w:rPr>
      </w:pPr>
    </w:p>
    <w:p>
      <w:pPr>
        <w:widowControl w:val="0"/>
        <w:spacing w:line="600" w:lineRule="exact"/>
        <w:jc w:val="center"/>
        <w:rPr>
          <w:rFonts w:ascii="黑体" w:hAnsi="黑体" w:eastAsia="黑体" w:cstheme="minorBidi"/>
          <w:b/>
          <w:sz w:val="32"/>
          <w:szCs w:val="32"/>
        </w:rPr>
      </w:pPr>
      <w:bookmarkStart w:id="360" w:name="_Toc7269"/>
      <w:bookmarkStart w:id="361" w:name="_Toc31563"/>
      <w:bookmarkStart w:id="362" w:name="_Toc25817"/>
    </w:p>
    <w:p>
      <w:pPr>
        <w:pStyle w:val="2"/>
        <w:ind w:firstLine="643"/>
        <w:rPr>
          <w:rFonts w:ascii="黑体" w:hAnsi="黑体" w:eastAsia="黑体" w:cstheme="minorBidi"/>
          <w:b/>
          <w:color w:val="auto"/>
        </w:rPr>
      </w:pPr>
    </w:p>
    <w:p>
      <w:pPr>
        <w:pStyle w:val="2"/>
        <w:ind w:firstLine="643"/>
        <w:rPr>
          <w:rFonts w:ascii="黑体" w:hAnsi="黑体" w:eastAsia="黑体" w:cstheme="minorBidi"/>
          <w:b/>
          <w:color w:val="auto"/>
        </w:rPr>
      </w:pPr>
    </w:p>
    <w:p>
      <w:pPr>
        <w:pStyle w:val="2"/>
        <w:ind w:firstLine="643"/>
        <w:rPr>
          <w:rFonts w:ascii="黑体" w:hAnsi="黑体" w:eastAsia="黑体" w:cstheme="minorBidi"/>
          <w:b/>
          <w:color w:val="auto"/>
        </w:rPr>
      </w:pPr>
    </w:p>
    <w:p>
      <w:pPr>
        <w:pStyle w:val="2"/>
        <w:ind w:firstLine="0" w:firstLineChars="0"/>
        <w:rPr>
          <w:rFonts w:ascii="黑体" w:hAnsi="黑体" w:eastAsia="黑体" w:cstheme="minorBidi"/>
          <w:b/>
          <w:color w:val="FF0000"/>
        </w:rPr>
      </w:pPr>
    </w:p>
    <w:p>
      <w:pPr>
        <w:widowControl w:val="0"/>
        <w:spacing w:line="600" w:lineRule="exact"/>
        <w:jc w:val="center"/>
        <w:rPr>
          <w:rFonts w:ascii="黑体" w:hAnsi="黑体" w:eastAsia="黑体" w:cstheme="minorBidi"/>
          <w:b/>
          <w:color w:val="FF0000"/>
          <w:sz w:val="32"/>
          <w:szCs w:val="32"/>
        </w:rPr>
      </w:pPr>
      <w:r>
        <w:rPr>
          <w:rFonts w:hint="eastAsia" w:ascii="黑体" w:hAnsi="黑体" w:eastAsia="黑体" w:cstheme="minorBidi"/>
          <w:b/>
          <w:color w:val="FF0000"/>
          <w:sz w:val="32"/>
          <w:szCs w:val="32"/>
        </w:rPr>
        <w:t>第八章</w:t>
      </w:r>
      <w:bookmarkEnd w:id="352"/>
      <w:bookmarkEnd w:id="353"/>
      <w:r>
        <w:rPr>
          <w:rFonts w:hint="eastAsia" w:ascii="黑体" w:hAnsi="黑体" w:eastAsia="黑体" w:cstheme="minorBidi"/>
          <w:b/>
          <w:color w:val="FF0000"/>
          <w:sz w:val="32"/>
          <w:szCs w:val="32"/>
        </w:rPr>
        <w:t xml:space="preserve">  </w:t>
      </w:r>
      <w:bookmarkStart w:id="363" w:name="_Toc7"/>
      <w:bookmarkStart w:id="364" w:name="_Toc56346968"/>
      <w:r>
        <w:rPr>
          <w:rFonts w:hint="eastAsia" w:ascii="黑体" w:hAnsi="黑体" w:eastAsia="黑体" w:cstheme="minorBidi"/>
          <w:b/>
          <w:color w:val="FF0000"/>
          <w:sz w:val="32"/>
          <w:szCs w:val="32"/>
        </w:rPr>
        <w:t>提升海南“第四极”城镇化建设水平</w:t>
      </w:r>
      <w:bookmarkEnd w:id="354"/>
      <w:bookmarkEnd w:id="355"/>
      <w:bookmarkEnd w:id="356"/>
      <w:bookmarkEnd w:id="357"/>
      <w:bookmarkEnd w:id="358"/>
      <w:bookmarkEnd w:id="359"/>
      <w:bookmarkEnd w:id="360"/>
      <w:bookmarkEnd w:id="361"/>
      <w:bookmarkEnd w:id="362"/>
      <w:bookmarkEnd w:id="363"/>
      <w:bookmarkEnd w:id="364"/>
    </w:p>
    <w:p>
      <w:pPr>
        <w:widowControl w:val="0"/>
        <w:spacing w:line="600" w:lineRule="exact"/>
        <w:ind w:firstLine="668" w:firstLineChars="217"/>
        <w:rPr>
          <w:rFonts w:ascii="仿宋_GB2312" w:hAnsi="仿宋_GB2312" w:eastAsia="仿宋_GB2312" w:cs="仿宋_GB2312"/>
          <w:b/>
          <w:color w:val="FF0000"/>
          <w:spacing w:val="-6"/>
          <w:sz w:val="32"/>
          <w:szCs w:val="32"/>
        </w:rPr>
      </w:pPr>
      <w:r>
        <w:rPr>
          <w:rFonts w:hint="eastAsia" w:ascii="仿宋_GB2312" w:hAnsi="仿宋_GB2312" w:eastAsia="仿宋_GB2312" w:cs="仿宋_GB2312"/>
          <w:color w:val="FF0000"/>
          <w:spacing w:val="-6"/>
          <w:sz w:val="32"/>
          <w:szCs w:val="32"/>
        </w:rPr>
        <w:t>坚持以人为核心的城镇化，结合琼海自然人文优势，因地制宜推动新型城镇化建设，打造宜居城镇、韧性城镇、智能城镇，彰显琼海特色小镇魅力。</w:t>
      </w:r>
    </w:p>
    <w:p>
      <w:pPr>
        <w:pStyle w:val="9"/>
        <w:widowControl w:val="0"/>
        <w:spacing w:line="600" w:lineRule="exact"/>
        <w:outlineLvl w:val="1"/>
        <w:rPr>
          <w:rFonts w:ascii="楷体" w:hAnsi="楷体" w:eastAsia="楷体"/>
        </w:rPr>
      </w:pPr>
      <w:bookmarkStart w:id="365" w:name="_Toc14515"/>
      <w:bookmarkStart w:id="366" w:name="_Toc24839"/>
      <w:bookmarkStart w:id="367" w:name="_Toc56346969"/>
      <w:bookmarkStart w:id="368" w:name="_Toc7904"/>
      <w:bookmarkStart w:id="369" w:name="_Toc10236"/>
      <w:bookmarkStart w:id="370" w:name="_Toc31808"/>
      <w:bookmarkStart w:id="371" w:name="_Toc4010"/>
      <w:bookmarkStart w:id="372" w:name="_Toc19905"/>
      <w:bookmarkStart w:id="373" w:name="_Toc31752"/>
      <w:bookmarkStart w:id="374" w:name="_Toc26669"/>
      <w:bookmarkStart w:id="375" w:name="_Toc29299"/>
      <w:r>
        <w:rPr>
          <w:rFonts w:hint="eastAsia" w:ascii="楷体" w:hAnsi="楷体" w:eastAsia="楷体"/>
        </w:rPr>
        <w:t>第一节</w:t>
      </w:r>
      <w:r>
        <w:rPr>
          <w:rFonts w:ascii="楷体" w:hAnsi="楷体" w:eastAsia="楷体"/>
        </w:rPr>
        <w:t xml:space="preserve">  </w:t>
      </w:r>
      <w:bookmarkEnd w:id="365"/>
      <w:bookmarkEnd w:id="366"/>
      <w:bookmarkEnd w:id="367"/>
      <w:bookmarkEnd w:id="368"/>
      <w:bookmarkEnd w:id="369"/>
      <w:bookmarkEnd w:id="370"/>
      <w:bookmarkEnd w:id="371"/>
      <w:bookmarkEnd w:id="372"/>
      <w:bookmarkEnd w:id="373"/>
      <w:bookmarkEnd w:id="374"/>
      <w:bookmarkEnd w:id="375"/>
      <w:r>
        <w:rPr>
          <w:rFonts w:hint="eastAsia" w:ascii="楷体" w:hAnsi="楷体" w:eastAsia="楷体"/>
        </w:rPr>
        <w:t>强化规划管控</w:t>
      </w:r>
    </w:p>
    <w:p>
      <w:pPr>
        <w:widowControl w:val="0"/>
        <w:spacing w:line="600" w:lineRule="exact"/>
        <w:ind w:firstLine="617" w:firstLineChars="193"/>
        <w:rPr>
          <w:rFonts w:ascii="仿宋_GB2312" w:hAnsi="仿宋_GB2312" w:eastAsia="仿宋_GB2312" w:cs="仿宋_GB2312"/>
          <w:sz w:val="32"/>
          <w:szCs w:val="32"/>
        </w:rPr>
      </w:pPr>
      <w:r>
        <w:rPr>
          <w:rFonts w:hint="eastAsia" w:ascii="仿宋_GB2312" w:hAnsi="仿宋_GB2312" w:eastAsia="仿宋_GB2312" w:cs="仿宋_GB2312"/>
          <w:sz w:val="32"/>
          <w:szCs w:val="32"/>
        </w:rPr>
        <w:t>依据琼海市国土空间规划优化主体功能区布局，深化市域“多规合一”改革，建立“三级三类”国土空间规划体系，构建绿色、开放、高效、安全的国土空间保护开发格局。完善镇（区）控制性详细规划编制，形成一个特色小镇一本规划、一张蓝图，并坚持一张蓝图干到底。重点推进嘉积、博鳌和中原万泉河一体化规划建设。加强小镇风貌设计、引导和管控，统筹整体平面和立体空间，做到地域文化特色浓郁，使建筑风貌与自然环境相融合、建筑色彩与建筑形态相协调。</w:t>
      </w:r>
    </w:p>
    <w:p>
      <w:pPr>
        <w:pStyle w:val="9"/>
        <w:widowControl w:val="0"/>
        <w:outlineLvl w:val="1"/>
        <w:rPr>
          <w:rFonts w:ascii="楷体" w:hAnsi="楷体" w:eastAsia="楷体" w:cs="楷体"/>
        </w:rPr>
      </w:pPr>
      <w:bookmarkStart w:id="376" w:name="_Toc9770"/>
      <w:bookmarkStart w:id="377" w:name="_Toc32523"/>
      <w:bookmarkStart w:id="378" w:name="_Toc16712"/>
      <w:bookmarkStart w:id="379" w:name="_Toc31618"/>
      <w:bookmarkStart w:id="380" w:name="_Toc29243"/>
      <w:bookmarkStart w:id="381" w:name="_Toc12550"/>
      <w:bookmarkStart w:id="382" w:name="_Toc20119"/>
      <w:bookmarkStart w:id="383" w:name="_Toc56346970"/>
      <w:bookmarkStart w:id="384" w:name="_Toc30303"/>
      <w:bookmarkStart w:id="385" w:name="_Toc28498"/>
      <w:bookmarkStart w:id="386" w:name="_Toc9891"/>
      <w:r>
        <w:rPr>
          <w:rFonts w:hint="eastAsia" w:ascii="楷体" w:hAnsi="楷体" w:eastAsia="楷体" w:cs="楷体"/>
        </w:rPr>
        <w:t>第二节</w:t>
      </w:r>
      <w:r>
        <w:rPr>
          <w:rFonts w:ascii="楷体" w:hAnsi="楷体" w:eastAsia="楷体" w:cs="楷体"/>
        </w:rPr>
        <w:t xml:space="preserve">  </w:t>
      </w:r>
      <w:bookmarkEnd w:id="376"/>
      <w:bookmarkEnd w:id="377"/>
      <w:bookmarkEnd w:id="378"/>
      <w:bookmarkEnd w:id="379"/>
      <w:bookmarkEnd w:id="380"/>
      <w:bookmarkEnd w:id="381"/>
      <w:bookmarkEnd w:id="382"/>
      <w:bookmarkEnd w:id="383"/>
      <w:bookmarkEnd w:id="384"/>
      <w:bookmarkEnd w:id="385"/>
      <w:bookmarkEnd w:id="386"/>
      <w:r>
        <w:rPr>
          <w:rFonts w:hint="eastAsia" w:ascii="楷体" w:hAnsi="楷体" w:eastAsia="楷体" w:cs="楷体"/>
        </w:rPr>
        <w:t>建设特色小镇</w:t>
      </w:r>
    </w:p>
    <w:p>
      <w:pPr>
        <w:widowControl w:val="0"/>
        <w:spacing w:line="56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坚持市场导向、因镇制宜原则，按照产城融合、职住平衡、生态宜居、交通便利的要求，构建</w:t>
      </w:r>
      <w:r>
        <w:rPr>
          <w:rFonts w:hint="eastAsia" w:ascii="仿宋_GB2312" w:hAnsi="仿宋_GB2312" w:eastAsia="仿宋_GB2312" w:cs="仿宋_GB2312"/>
          <w:spacing w:val="6"/>
          <w:sz w:val="32"/>
          <w:szCs w:val="32"/>
        </w:rPr>
        <w:t>“镇墟、园区、基地”三位一体发展格局，深入</w:t>
      </w:r>
      <w:r>
        <w:rPr>
          <w:rFonts w:hint="eastAsia" w:ascii="仿宋_GB2312" w:hAnsi="仿宋_GB2312" w:eastAsia="仿宋_GB2312" w:cs="仿宋_GB2312"/>
          <w:sz w:val="32"/>
          <w:szCs w:val="32"/>
        </w:rPr>
        <w:t>推进主城区和特色小镇建设。</w:t>
      </w:r>
      <w:r>
        <w:rPr>
          <w:rFonts w:hint="eastAsia" w:ascii="仿宋_GB2312" w:hAnsi="仿宋_GB2312" w:eastAsia="仿宋_GB2312" w:cs="仿宋_GB2312"/>
          <w:spacing w:val="6"/>
          <w:sz w:val="32"/>
          <w:szCs w:val="32"/>
        </w:rPr>
        <w:t>支持农业产业化龙头企业采取“公司＋基地＋农户”模式，在乡村建设农产品原料基地，在镇墟建设加工物流基地。支持工商企业在特色小镇建设发展休闲农业、乡村旅游、农产品加工物流、农村一二三产融合、电商等项目。支持企业到小镇投资建设，严格控制开发纯住宅楼。支持高校职校和科研院所到特色小镇，建设主导产业实用技术推广示范基地、就业技能培训基地。</w:t>
      </w:r>
    </w:p>
    <w:tbl>
      <w:tblPr>
        <w:tblStyle w:val="1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288" w:type="dxa"/>
          </w:tcPr>
          <w:p>
            <w:pPr>
              <w:widowControl w:val="0"/>
              <w:spacing w:line="460" w:lineRule="exact"/>
              <w:jc w:val="center"/>
              <w:rPr>
                <w:rFonts w:ascii="Times New Roman" w:hAnsi="Times New Roman" w:eastAsia="黑体"/>
                <w:b/>
                <w:sz w:val="28"/>
                <w:szCs w:val="28"/>
              </w:rPr>
            </w:pPr>
            <w:r>
              <w:rPr>
                <w:rFonts w:hint="eastAsia" w:ascii="黑体" w:hAnsi="黑体" w:eastAsia="黑体"/>
                <w:b/>
                <w:sz w:val="28"/>
                <w:szCs w:val="28"/>
              </w:rPr>
              <w:t>专栏</w:t>
            </w:r>
            <w:r>
              <w:rPr>
                <w:rFonts w:ascii="黑体" w:hAnsi="黑体" w:eastAsia="黑体"/>
                <w:b/>
                <w:sz w:val="28"/>
                <w:szCs w:val="28"/>
              </w:rPr>
              <w:t>1</w:t>
            </w:r>
            <w:r>
              <w:rPr>
                <w:rFonts w:hint="eastAsia" w:ascii="黑体" w:hAnsi="黑体" w:eastAsia="黑体"/>
                <w:b/>
                <w:sz w:val="28"/>
                <w:szCs w:val="28"/>
              </w:rPr>
              <w:t>4</w:t>
            </w:r>
            <w:r>
              <w:rPr>
                <w:rFonts w:ascii="黑体" w:hAnsi="黑体" w:eastAsia="黑体"/>
                <w:b/>
                <w:sz w:val="28"/>
                <w:szCs w:val="28"/>
              </w:rPr>
              <w:t>：“十四五”时期琼海市特色小镇建设发展重点任务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8" w:type="dxa"/>
          </w:tcPr>
          <w:p>
            <w:pPr>
              <w:widowControl w:val="0"/>
              <w:spacing w:line="500" w:lineRule="exact"/>
              <w:ind w:firstLine="548" w:firstLineChars="195"/>
              <w:rPr>
                <w:rFonts w:ascii="楷体_GB2312" w:hAnsi="楷体" w:eastAsia="楷体_GB2312"/>
                <w:b/>
                <w:sz w:val="28"/>
                <w:szCs w:val="28"/>
              </w:rPr>
            </w:pPr>
            <w:r>
              <w:rPr>
                <w:rFonts w:ascii="楷体_GB2312" w:hAnsi="Times New Roman" w:eastAsia="楷体_GB2312"/>
                <w:b/>
                <w:sz w:val="28"/>
                <w:szCs w:val="28"/>
              </w:rPr>
              <w:t>01.</w:t>
            </w:r>
            <w:r>
              <w:rPr>
                <w:rFonts w:hint="eastAsia" w:ascii="楷体_GB2312" w:hAnsi="楷体" w:eastAsia="楷体_GB2312"/>
                <w:b/>
                <w:sz w:val="28"/>
                <w:szCs w:val="28"/>
              </w:rPr>
              <w:t>嘉积镇</w:t>
            </w:r>
          </w:p>
          <w:p>
            <w:pPr>
              <w:widowControl w:val="0"/>
              <w:spacing w:line="500" w:lineRule="exact"/>
              <w:ind w:firstLine="546" w:firstLineChars="195"/>
              <w:rPr>
                <w:rFonts w:ascii="仿宋_GB2312" w:hAnsi="仿宋_GB2312" w:eastAsia="仿宋_GB2312" w:cs="仿宋_GB2312"/>
                <w:sz w:val="28"/>
                <w:szCs w:val="28"/>
              </w:rPr>
            </w:pPr>
            <w:r>
              <w:rPr>
                <w:rFonts w:hint="eastAsia" w:ascii="仿宋_GB2312" w:hAnsi="仿宋_GB2312" w:eastAsia="仿宋_GB2312" w:cs="仿宋_GB2312"/>
                <w:sz w:val="28"/>
                <w:szCs w:val="28"/>
              </w:rPr>
              <w:t>持续完善海南经济社会发展“第四极”主城区功能配套，提升土地资源的利用效率和空间利用率，打造海面向国际旅游的城镇综合服务中心、海南自由贸易港东部区域经济中心、文化教育中心、商贸中心与旅游服务中心。</w:t>
            </w:r>
          </w:p>
          <w:p>
            <w:pPr>
              <w:widowControl w:val="0"/>
              <w:spacing w:line="500" w:lineRule="exact"/>
              <w:ind w:firstLine="548" w:firstLineChars="195"/>
              <w:rPr>
                <w:rFonts w:ascii="楷体_GB2312" w:hAnsi="楷体_GB2312" w:eastAsia="楷体_GB2312" w:cs="楷体_GB2312"/>
                <w:b/>
                <w:sz w:val="28"/>
                <w:szCs w:val="28"/>
              </w:rPr>
            </w:pPr>
            <w:r>
              <w:rPr>
                <w:rFonts w:ascii="楷体_GB2312" w:hAnsi="楷体_GB2312" w:eastAsia="楷体_GB2312" w:cs="楷体_GB2312"/>
                <w:b/>
                <w:sz w:val="28"/>
                <w:szCs w:val="28"/>
              </w:rPr>
              <w:t>02.博鳌镇</w:t>
            </w:r>
          </w:p>
          <w:p>
            <w:pPr>
              <w:widowControl w:val="0"/>
              <w:spacing w:line="500" w:lineRule="exact"/>
              <w:ind w:firstLine="546" w:firstLineChars="195"/>
              <w:rPr>
                <w:rFonts w:ascii="仿宋_GB2312" w:hAnsi="仿宋_GB2312" w:eastAsia="仿宋_GB2312" w:cs="仿宋_GB2312"/>
                <w:sz w:val="28"/>
                <w:szCs w:val="28"/>
              </w:rPr>
            </w:pPr>
            <w:r>
              <w:rPr>
                <w:rFonts w:hint="eastAsia" w:ascii="仿宋_GB2312" w:hAnsi="仿宋_GB2312" w:eastAsia="仿宋_GB2312" w:cs="仿宋_GB2312"/>
                <w:sz w:val="28"/>
                <w:szCs w:val="28"/>
              </w:rPr>
              <w:t>贯彻落实习近平总书记关于博鳌的批示精神，营造非正式、舒适、和谐的会议氛围，加大培育“国际会议+”产业、高端医疗健康产业、数字经济产业、高端特色旅游业，打造东方山水田园会议小镇、国际公共外交基地、国际会议会展中心、国际经济文化合作交流中心。</w:t>
            </w:r>
          </w:p>
          <w:p>
            <w:pPr>
              <w:widowControl w:val="0"/>
              <w:spacing w:line="500" w:lineRule="exact"/>
              <w:ind w:firstLine="548" w:firstLineChars="195"/>
              <w:rPr>
                <w:rFonts w:ascii="楷体_GB2312" w:hAnsi="楷体_GB2312" w:eastAsia="楷体_GB2312" w:cs="楷体_GB2312"/>
                <w:b/>
                <w:sz w:val="28"/>
                <w:szCs w:val="28"/>
              </w:rPr>
            </w:pPr>
            <w:r>
              <w:rPr>
                <w:rFonts w:ascii="楷体_GB2312" w:hAnsi="楷体_GB2312" w:eastAsia="楷体_GB2312" w:cs="楷体_GB2312"/>
                <w:b/>
                <w:sz w:val="28"/>
                <w:szCs w:val="28"/>
              </w:rPr>
              <w:t>03.中原镇</w:t>
            </w:r>
          </w:p>
          <w:p>
            <w:pPr>
              <w:widowControl w:val="0"/>
              <w:spacing w:line="500" w:lineRule="exact"/>
              <w:ind w:firstLine="546" w:firstLineChars="195"/>
              <w:rPr>
                <w:rFonts w:ascii="仿宋_GB2312" w:hAnsi="仿宋_GB2312" w:eastAsia="仿宋_GB2312" w:cs="仿宋_GB2312"/>
                <w:sz w:val="28"/>
                <w:szCs w:val="28"/>
              </w:rPr>
            </w:pPr>
            <w:r>
              <w:rPr>
                <w:rFonts w:hint="eastAsia" w:ascii="仿宋_GB2312" w:hAnsi="仿宋_GB2312" w:eastAsia="仿宋_GB2312" w:cs="仿宋_GB2312"/>
                <w:sz w:val="28"/>
                <w:szCs w:val="28"/>
              </w:rPr>
              <w:t>做好博鳌乐城国际医疗旅游先行区、博鳌机场、环岛高铁博鳌站服务保障工作，扩大东部陆、空交通枢纽效应，打造面向国际旅游的交通旅游服务中心、会议与医疗旅游服务配套基地，集医药研发、空港经济、商贸金融、商务会展、旅游服务等于一体的南洋风情小镇。</w:t>
            </w:r>
          </w:p>
          <w:p>
            <w:pPr>
              <w:widowControl w:val="0"/>
              <w:spacing w:line="500" w:lineRule="exact"/>
              <w:ind w:firstLine="548" w:firstLineChars="195"/>
              <w:rPr>
                <w:rFonts w:ascii="楷体_GB2312" w:hAnsi="楷体_GB2312" w:eastAsia="楷体_GB2312" w:cs="楷体_GB2312"/>
                <w:b/>
                <w:sz w:val="28"/>
                <w:szCs w:val="28"/>
              </w:rPr>
            </w:pPr>
            <w:r>
              <w:rPr>
                <w:rFonts w:ascii="楷体_GB2312" w:hAnsi="楷体_GB2312" w:eastAsia="楷体_GB2312" w:cs="楷体_GB2312"/>
                <w:b/>
                <w:sz w:val="28"/>
                <w:szCs w:val="28"/>
              </w:rPr>
              <w:t>04.潭门镇</w:t>
            </w:r>
          </w:p>
          <w:p>
            <w:pPr>
              <w:widowControl w:val="0"/>
              <w:spacing w:line="500" w:lineRule="exact"/>
              <w:ind w:firstLine="546" w:firstLineChars="195"/>
              <w:rPr>
                <w:rFonts w:ascii="仿宋_GB2312" w:hAnsi="仿宋_GB2312" w:eastAsia="仿宋_GB2312" w:cs="仿宋_GB2312"/>
                <w:sz w:val="28"/>
                <w:szCs w:val="28"/>
              </w:rPr>
            </w:pPr>
            <w:r>
              <w:rPr>
                <w:rFonts w:hint="eastAsia" w:ascii="仿宋_GB2312" w:hAnsi="仿宋_GB2312" w:eastAsia="仿宋_GB2312" w:cs="仿宋_GB2312"/>
                <w:sz w:val="28"/>
                <w:szCs w:val="28"/>
              </w:rPr>
              <w:t>发挥千年渔港的品牌效应，持续完善潭门中心渔港建设，以深海渔业养殖、海洋捕捞、海产品加工、休闲渔业、海洋文化为主，保障好南海博物馆运营建设，建设世界级海洋博览与南海渔港文化科教之窗，打造面向21世纪海上丝绸之路的南海风情小镇。</w:t>
            </w:r>
          </w:p>
          <w:p>
            <w:pPr>
              <w:widowControl w:val="0"/>
              <w:spacing w:line="500" w:lineRule="exact"/>
              <w:ind w:firstLine="548" w:firstLineChars="195"/>
              <w:rPr>
                <w:rFonts w:ascii="楷体_GB2312" w:hAnsi="楷体_GB2312" w:eastAsia="楷体_GB2312" w:cs="楷体_GB2312"/>
                <w:b/>
                <w:sz w:val="28"/>
                <w:szCs w:val="28"/>
              </w:rPr>
            </w:pPr>
            <w:r>
              <w:rPr>
                <w:rFonts w:ascii="楷体_GB2312" w:hAnsi="楷体_GB2312" w:eastAsia="楷体_GB2312" w:cs="楷体_GB2312"/>
                <w:b/>
                <w:sz w:val="28"/>
                <w:szCs w:val="28"/>
              </w:rPr>
              <w:t>05.大路镇</w:t>
            </w:r>
          </w:p>
          <w:p>
            <w:pPr>
              <w:widowControl w:val="0"/>
              <w:spacing w:line="500" w:lineRule="exact"/>
              <w:ind w:firstLine="546" w:firstLineChars="195"/>
              <w:rPr>
                <w:rFonts w:ascii="仿宋_GB2312" w:hAnsi="仿宋_GB2312" w:eastAsia="仿宋_GB2312" w:cs="仿宋_GB2312"/>
                <w:sz w:val="28"/>
                <w:szCs w:val="28"/>
              </w:rPr>
            </w:pPr>
            <w:r>
              <w:rPr>
                <w:rFonts w:hint="eastAsia" w:ascii="仿宋_GB2312" w:hAnsi="仿宋_GB2312" w:eastAsia="仿宋_GB2312" w:cs="仿宋_GB2312"/>
                <w:sz w:val="28"/>
                <w:szCs w:val="28"/>
              </w:rPr>
              <w:t>支持世界热带水果之窗做大做强，打造琼海农业对外开发合作试验区重要载体和平台。以生态农业为基础，农副产品加工和物流为重点，互联</w:t>
            </w:r>
          </w:p>
          <w:p>
            <w:pPr>
              <w:widowControl w:val="0"/>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网+农业和休闲农业旅游为特色，打造琼海北翼农耕文化特色小镇。</w:t>
            </w:r>
          </w:p>
          <w:p>
            <w:pPr>
              <w:widowControl w:val="0"/>
              <w:spacing w:line="500" w:lineRule="exact"/>
              <w:ind w:firstLine="548" w:firstLineChars="195"/>
              <w:rPr>
                <w:rFonts w:ascii="楷体_GB2312" w:hAnsi="楷体_GB2312" w:eastAsia="楷体_GB2312" w:cs="楷体_GB2312"/>
                <w:b/>
                <w:sz w:val="28"/>
                <w:szCs w:val="28"/>
              </w:rPr>
            </w:pPr>
            <w:r>
              <w:rPr>
                <w:rFonts w:ascii="楷体_GB2312" w:hAnsi="楷体_GB2312" w:eastAsia="楷体_GB2312" w:cs="楷体_GB2312"/>
                <w:b/>
                <w:sz w:val="28"/>
                <w:szCs w:val="28"/>
              </w:rPr>
              <w:t>06.长坡镇</w:t>
            </w:r>
          </w:p>
          <w:p>
            <w:pPr>
              <w:widowControl w:val="0"/>
              <w:spacing w:line="500" w:lineRule="exact"/>
              <w:ind w:firstLine="546" w:firstLineChars="195"/>
              <w:rPr>
                <w:rFonts w:ascii="仿宋_GB2312" w:hAnsi="仿宋_GB2312" w:eastAsia="仿宋_GB2312" w:cs="仿宋_GB2312"/>
                <w:sz w:val="28"/>
                <w:szCs w:val="28"/>
              </w:rPr>
            </w:pPr>
            <w:r>
              <w:rPr>
                <w:rFonts w:hint="eastAsia" w:ascii="仿宋_GB2312" w:hAnsi="仿宋_GB2312" w:eastAsia="仿宋_GB2312" w:cs="仿宋_GB2312"/>
                <w:sz w:val="28"/>
                <w:szCs w:val="28"/>
              </w:rPr>
              <w:t>全力做好龙湾港开发建设服务保障工作，打造临港经济区。大力发展无公害化海产品养殖、花卉种植、商贸物流运输，打造以现代农业与滨海旅游服务业为支撑、浓郁滨海风情为特色的产业小镇。</w:t>
            </w:r>
          </w:p>
          <w:p>
            <w:pPr>
              <w:widowControl w:val="0"/>
              <w:spacing w:line="500" w:lineRule="exact"/>
              <w:ind w:firstLine="548" w:firstLineChars="195"/>
              <w:rPr>
                <w:rFonts w:ascii="楷体_GB2312" w:hAnsi="楷体_GB2312" w:eastAsia="楷体_GB2312" w:cs="楷体_GB2312"/>
                <w:b/>
                <w:sz w:val="28"/>
                <w:szCs w:val="28"/>
              </w:rPr>
            </w:pPr>
            <w:r>
              <w:rPr>
                <w:rFonts w:ascii="楷体_GB2312" w:hAnsi="楷体_GB2312" w:eastAsia="楷体_GB2312" w:cs="楷体_GB2312"/>
                <w:b/>
                <w:sz w:val="28"/>
                <w:szCs w:val="28"/>
              </w:rPr>
              <w:t>07.塔洋镇</w:t>
            </w:r>
          </w:p>
          <w:p>
            <w:pPr>
              <w:widowControl w:val="0"/>
              <w:spacing w:line="500" w:lineRule="exact"/>
              <w:ind w:firstLine="546" w:firstLineChars="195"/>
              <w:rPr>
                <w:rFonts w:ascii="仿宋_GB2312" w:hAnsi="仿宋_GB2312" w:eastAsia="仿宋_GB2312" w:cs="仿宋_GB2312"/>
                <w:sz w:val="28"/>
                <w:szCs w:val="28"/>
              </w:rPr>
            </w:pPr>
            <w:r>
              <w:rPr>
                <w:rFonts w:hint="eastAsia" w:ascii="仿宋_GB2312" w:hAnsi="仿宋_GB2312" w:eastAsia="仿宋_GB2312" w:cs="仿宋_GB2312"/>
                <w:sz w:val="28"/>
                <w:szCs w:val="28"/>
              </w:rPr>
              <w:t>发扬琼剧名伶之乡的悠久历史，大力发展琼剧文化事业，打造中国琼剧之乡。引入社会资本高质量建设“七星伴月”田园综合体，支持大顺农场建成农文旅融合发展特色品牌。以休闲旅游业、热带特色农业为支柱产业，打造具有浓郁地方特色、宜居宜游的古邑特色的乡村休闲旅游小镇。</w:t>
            </w:r>
          </w:p>
          <w:p>
            <w:pPr>
              <w:widowControl w:val="0"/>
              <w:spacing w:line="500" w:lineRule="exact"/>
              <w:ind w:firstLine="548" w:firstLineChars="195"/>
              <w:rPr>
                <w:rFonts w:ascii="楷体_GB2312" w:hAnsi="楷体_GB2312" w:eastAsia="楷体_GB2312" w:cs="楷体_GB2312"/>
                <w:b/>
                <w:sz w:val="28"/>
                <w:szCs w:val="28"/>
              </w:rPr>
            </w:pPr>
            <w:r>
              <w:rPr>
                <w:rFonts w:ascii="楷体_GB2312" w:hAnsi="楷体_GB2312" w:eastAsia="楷体_GB2312" w:cs="楷体_GB2312"/>
                <w:b/>
                <w:sz w:val="28"/>
                <w:szCs w:val="28"/>
              </w:rPr>
              <w:t>08.万泉镇</w:t>
            </w:r>
          </w:p>
          <w:p>
            <w:pPr>
              <w:widowControl w:val="0"/>
              <w:spacing w:line="500" w:lineRule="exact"/>
              <w:ind w:firstLine="546" w:firstLineChars="195"/>
              <w:rPr>
                <w:rFonts w:ascii="仿宋_GB2312" w:hAnsi="仿宋_GB2312" w:eastAsia="仿宋_GB2312" w:cs="仿宋_GB2312"/>
                <w:sz w:val="28"/>
                <w:szCs w:val="28"/>
              </w:rPr>
            </w:pPr>
            <w:r>
              <w:rPr>
                <w:rFonts w:hint="eastAsia" w:ascii="仿宋_GB2312" w:hAnsi="仿宋_GB2312" w:eastAsia="仿宋_GB2312" w:cs="仿宋_GB2312"/>
                <w:sz w:val="28"/>
                <w:szCs w:val="28"/>
              </w:rPr>
              <w:t>提升镇域范围内城乡基础设施建设，推进承接嘉积主城区部分功能。以万泉河优良生态为依托，建设万泉河沿河休闲观光带，打造独具江南水乡特色的全域型生态旅游水乡风情小镇。</w:t>
            </w:r>
          </w:p>
          <w:p>
            <w:pPr>
              <w:widowControl w:val="0"/>
              <w:spacing w:line="500" w:lineRule="exact"/>
              <w:ind w:firstLine="548" w:firstLineChars="195"/>
              <w:rPr>
                <w:rFonts w:ascii="楷体_GB2312" w:hAnsi="楷体_GB2312" w:eastAsia="楷体_GB2312" w:cs="楷体_GB2312"/>
                <w:b/>
                <w:sz w:val="28"/>
                <w:szCs w:val="28"/>
              </w:rPr>
            </w:pPr>
            <w:r>
              <w:rPr>
                <w:rFonts w:ascii="楷体_GB2312" w:hAnsi="楷体_GB2312" w:eastAsia="楷体_GB2312" w:cs="楷体_GB2312"/>
                <w:b/>
                <w:sz w:val="28"/>
                <w:szCs w:val="28"/>
              </w:rPr>
              <w:t>09.阳江镇</w:t>
            </w:r>
          </w:p>
          <w:p>
            <w:pPr>
              <w:widowControl w:val="0"/>
              <w:spacing w:line="500" w:lineRule="exact"/>
              <w:ind w:firstLine="546" w:firstLineChars="195"/>
              <w:rPr>
                <w:rFonts w:ascii="仿宋_GB2312" w:hAnsi="仿宋_GB2312" w:eastAsia="仿宋_GB2312" w:cs="仿宋_GB2312"/>
                <w:spacing w:val="6"/>
                <w:sz w:val="28"/>
                <w:szCs w:val="28"/>
              </w:rPr>
            </w:pPr>
            <w:r>
              <w:rPr>
                <w:rFonts w:hint="eastAsia" w:ascii="仿宋_GB2312" w:hAnsi="仿宋_GB2312" w:eastAsia="仿宋_GB2312" w:cs="仿宋_GB2312"/>
                <w:sz w:val="28"/>
                <w:szCs w:val="28"/>
              </w:rPr>
              <w:t>以“红色家园、传奇阳江”为主题，整合红色旅游资源，打造红色精品旅游路线。深入挖掘胡椒、油茶、橡胶等热带高效农作物的附加值，打造热带高效农业生态产业带。</w:t>
            </w:r>
            <w:r>
              <w:rPr>
                <w:rFonts w:hint="eastAsia" w:ascii="仿宋_GB2312" w:hAnsi="仿宋_GB2312" w:eastAsia="仿宋_GB2312" w:cs="仿宋_GB2312"/>
                <w:spacing w:val="6"/>
                <w:sz w:val="28"/>
                <w:szCs w:val="28"/>
              </w:rPr>
              <w:t>打造以热农业生产加工、商贸往来、红色旅游为主的特色小镇。</w:t>
            </w:r>
          </w:p>
          <w:p>
            <w:pPr>
              <w:widowControl w:val="0"/>
              <w:spacing w:line="500" w:lineRule="exact"/>
              <w:ind w:firstLine="548" w:firstLineChars="195"/>
              <w:rPr>
                <w:rFonts w:ascii="楷体_GB2312" w:hAnsi="楷体_GB2312" w:eastAsia="楷体_GB2312" w:cs="楷体_GB2312"/>
                <w:b/>
                <w:sz w:val="28"/>
                <w:szCs w:val="28"/>
              </w:rPr>
            </w:pPr>
            <w:r>
              <w:rPr>
                <w:rFonts w:ascii="楷体_GB2312" w:hAnsi="楷体_GB2312" w:eastAsia="楷体_GB2312" w:cs="楷体_GB2312"/>
                <w:b/>
                <w:sz w:val="28"/>
                <w:szCs w:val="28"/>
              </w:rPr>
              <w:t>10.龙江镇。</w:t>
            </w:r>
          </w:p>
          <w:p>
            <w:pPr>
              <w:widowControl w:val="0"/>
              <w:spacing w:line="500" w:lineRule="exact"/>
              <w:ind w:firstLine="546" w:firstLineChars="195"/>
              <w:rPr>
                <w:rFonts w:ascii="仿宋_GB2312" w:hAnsi="仿宋_GB2312" w:eastAsia="仿宋_GB2312" w:cs="仿宋_GB2312"/>
                <w:sz w:val="28"/>
                <w:szCs w:val="28"/>
              </w:rPr>
            </w:pPr>
            <w:r>
              <w:rPr>
                <w:rFonts w:hint="eastAsia" w:ascii="仿宋_GB2312" w:hAnsi="仿宋_GB2312" w:eastAsia="仿宋_GB2312" w:cs="仿宋_GB2312"/>
                <w:sz w:val="28"/>
                <w:szCs w:val="28"/>
              </w:rPr>
              <w:t>持续完善镇域基础服务设施，提升镇域活力。充分利用万泉河优美自然环境，打造万泉河滨河景观带和南望沟滨河景观带。以建设区域旅游服务基地和具有浓郁地方特色的热带高效农业生产基地为目标，打造具有山水田园风光特色的生态型小镇。</w:t>
            </w:r>
          </w:p>
          <w:p>
            <w:pPr>
              <w:widowControl w:val="0"/>
              <w:spacing w:line="500" w:lineRule="exact"/>
              <w:ind w:firstLine="548" w:firstLineChars="195"/>
              <w:rPr>
                <w:rFonts w:ascii="楷体_GB2312" w:hAnsi="楷体_GB2312" w:eastAsia="楷体_GB2312" w:cs="楷体_GB2312"/>
                <w:b/>
                <w:sz w:val="28"/>
                <w:szCs w:val="28"/>
              </w:rPr>
            </w:pPr>
            <w:r>
              <w:rPr>
                <w:rFonts w:ascii="楷体_GB2312" w:hAnsi="楷体_GB2312" w:eastAsia="楷体_GB2312" w:cs="楷体_GB2312"/>
                <w:b/>
                <w:sz w:val="28"/>
                <w:szCs w:val="28"/>
              </w:rPr>
              <w:t>11.石壁镇</w:t>
            </w:r>
          </w:p>
          <w:p>
            <w:pPr>
              <w:widowControl w:val="0"/>
              <w:spacing w:line="500" w:lineRule="exact"/>
              <w:ind w:firstLine="546" w:firstLineChars="195"/>
              <w:rPr>
                <w:rFonts w:ascii="仿宋_GB2312" w:hAnsi="仿宋_GB2312" w:eastAsia="仿宋_GB2312" w:cs="仿宋_GB2312"/>
                <w:sz w:val="28"/>
                <w:szCs w:val="28"/>
              </w:rPr>
            </w:pPr>
            <w:r>
              <w:rPr>
                <w:rFonts w:hint="eastAsia" w:ascii="仿宋_GB2312" w:hAnsi="仿宋_GB2312" w:eastAsia="仿宋_GB2312" w:cs="仿宋_GB2312"/>
                <w:sz w:val="28"/>
                <w:szCs w:val="28"/>
              </w:rPr>
              <w:t>做大冼太夫人文化节，打响冼太夫人文化品牌，打造特色民俗文化旅游点。扩大五色粽及系列产品生产线，推动油茶、沉香基地建设。以旅游产业、现代农业为支柱产业，打造社会和谐、生态环境、旅游环境优良、适宜居住的山水田园小镇。</w:t>
            </w:r>
          </w:p>
          <w:p>
            <w:pPr>
              <w:widowControl w:val="0"/>
              <w:spacing w:line="500" w:lineRule="exact"/>
              <w:ind w:firstLine="548" w:firstLineChars="195"/>
              <w:rPr>
                <w:rFonts w:ascii="楷体_GB2312" w:hAnsi="楷体_GB2312" w:eastAsia="楷体_GB2312" w:cs="楷体_GB2312"/>
                <w:b/>
                <w:sz w:val="28"/>
                <w:szCs w:val="28"/>
              </w:rPr>
            </w:pPr>
            <w:r>
              <w:rPr>
                <w:rFonts w:ascii="楷体_GB2312" w:hAnsi="楷体_GB2312" w:eastAsia="楷体_GB2312" w:cs="楷体_GB2312"/>
                <w:b/>
                <w:sz w:val="28"/>
                <w:szCs w:val="28"/>
              </w:rPr>
              <w:t>12.会山镇</w:t>
            </w:r>
          </w:p>
          <w:p>
            <w:pPr>
              <w:widowControl w:val="0"/>
              <w:spacing w:line="500" w:lineRule="exact"/>
              <w:ind w:firstLine="546" w:firstLineChars="195"/>
              <w:rPr>
                <w:rFonts w:ascii="仿宋_GB2312" w:hAnsi="仿宋_GB2312" w:eastAsia="仿宋_GB2312" w:cs="仿宋_GB2312"/>
                <w:sz w:val="28"/>
                <w:szCs w:val="28"/>
              </w:rPr>
            </w:pPr>
            <w:r>
              <w:rPr>
                <w:rFonts w:hint="eastAsia" w:ascii="仿宋_GB2312" w:hAnsi="仿宋_GB2312" w:eastAsia="仿宋_GB2312" w:cs="仿宋_GB2312"/>
                <w:sz w:val="28"/>
                <w:szCs w:val="28"/>
              </w:rPr>
              <w:t>发挥万泉河及省级森林保护区的生态优势、万洋高速和G9812高速公路延长线的交通优势、特色苗族风情的文化优势，以热作种植、康养休闲度假、乡村旅游、南药养殖加工为主，建设琼海西部地区重要交通节点和门户、琼海生态旅游康养“后花园”、海南苗族文化中心，打造经济繁荣、社会文明、环境优美的生态旅游特色小镇。</w:t>
            </w:r>
          </w:p>
          <w:p>
            <w:pPr>
              <w:widowControl w:val="0"/>
              <w:spacing w:line="500" w:lineRule="exact"/>
              <w:ind w:firstLine="548" w:firstLineChars="195"/>
              <w:rPr>
                <w:rFonts w:ascii="楷体_GB2312" w:hAnsi="Times New Roman" w:eastAsia="楷体_GB2312"/>
                <w:b/>
                <w:sz w:val="28"/>
                <w:szCs w:val="28"/>
              </w:rPr>
            </w:pPr>
            <w:r>
              <w:rPr>
                <w:rFonts w:hint="eastAsia" w:ascii="楷体_GB2312" w:hAnsi="Times New Roman" w:eastAsia="楷体_GB2312"/>
                <w:b/>
                <w:sz w:val="28"/>
                <w:szCs w:val="28"/>
              </w:rPr>
              <w:t>13.彬村山华侨经济区</w:t>
            </w:r>
          </w:p>
          <w:p>
            <w:pPr>
              <w:widowControl w:val="0"/>
              <w:spacing w:line="500" w:lineRule="exact"/>
              <w:ind w:firstLine="569" w:firstLineChars="195"/>
              <w:rPr>
                <w:rFonts w:ascii="楷体_GB2312" w:hAnsi="Times New Roman" w:eastAsia="楷体_GB2312"/>
                <w:b/>
                <w:sz w:val="28"/>
                <w:szCs w:val="28"/>
              </w:rPr>
            </w:pPr>
            <w:r>
              <w:rPr>
                <w:rFonts w:hint="eastAsia" w:ascii="仿宋_GB2312" w:hAnsi="仿宋_GB2312" w:eastAsia="仿宋_GB2312" w:cs="仿宋_GB2312"/>
                <w:spacing w:val="6"/>
                <w:sz w:val="28"/>
                <w:szCs w:val="28"/>
              </w:rPr>
              <w:t>做强胡椒、橡胶等热带高效作物，改良加工工艺提升产品附加值。打好侨牌做足“侨”文章，推动彬村山经济区商业街惠侨街区、新侨街区、归侨街区等侨乡文化项目建设，打造以印尼风情为主的东南亚文化风情小镇。</w:t>
            </w:r>
          </w:p>
        </w:tc>
      </w:tr>
    </w:tbl>
    <w:p>
      <w:pPr>
        <w:pStyle w:val="9"/>
        <w:widowControl w:val="0"/>
        <w:spacing w:line="640" w:lineRule="exact"/>
        <w:outlineLvl w:val="1"/>
        <w:rPr>
          <w:rFonts w:ascii="楷体" w:hAnsi="楷体" w:eastAsia="楷体"/>
        </w:rPr>
      </w:pPr>
      <w:bookmarkStart w:id="387" w:name="_Toc26454"/>
      <w:bookmarkStart w:id="388" w:name="_Toc20818"/>
      <w:bookmarkStart w:id="389" w:name="_Toc6193"/>
      <w:bookmarkStart w:id="390" w:name="_Toc56346972"/>
      <w:bookmarkStart w:id="391" w:name="_Toc27223"/>
      <w:bookmarkStart w:id="392" w:name="_Toc14657"/>
      <w:bookmarkStart w:id="393" w:name="_Toc14725"/>
      <w:bookmarkStart w:id="394" w:name="_Toc31973"/>
      <w:bookmarkStart w:id="395" w:name="_Toc12274"/>
      <w:bookmarkStart w:id="396" w:name="_Toc13115"/>
      <w:bookmarkStart w:id="397" w:name="_Toc17436"/>
      <w:r>
        <w:rPr>
          <w:rFonts w:hint="eastAsia" w:ascii="楷体" w:hAnsi="楷体" w:eastAsia="楷体"/>
        </w:rPr>
        <w:t>第三节</w:t>
      </w:r>
      <w:r>
        <w:rPr>
          <w:rFonts w:ascii="楷体" w:hAnsi="楷体" w:eastAsia="楷体"/>
        </w:rPr>
        <w:t xml:space="preserve">  </w:t>
      </w:r>
      <w:bookmarkEnd w:id="387"/>
      <w:bookmarkEnd w:id="388"/>
      <w:bookmarkEnd w:id="389"/>
      <w:bookmarkEnd w:id="390"/>
      <w:bookmarkEnd w:id="391"/>
      <w:bookmarkEnd w:id="392"/>
      <w:bookmarkEnd w:id="393"/>
      <w:bookmarkEnd w:id="394"/>
      <w:bookmarkEnd w:id="395"/>
      <w:bookmarkEnd w:id="396"/>
      <w:bookmarkEnd w:id="397"/>
      <w:r>
        <w:rPr>
          <w:rFonts w:hint="eastAsia" w:ascii="楷体" w:hAnsi="楷体" w:eastAsia="楷体"/>
        </w:rPr>
        <w:t>加强城镇管理</w:t>
      </w:r>
    </w:p>
    <w:p>
      <w:pPr>
        <w:widowControl w:val="0"/>
        <w:spacing w:line="64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实施扩权强镇政策，赋予经济和人口规模较大的特色小镇相适应的建设规划、审批服务、综合执法等经济社会管理权限，严格执行城镇规划建设管理行政决策法定程序。实施清洁特色小镇行动计划，加大环境综合整治力度。建立全市统一的城镇管理数字化平台，推进城镇管理和服务智能化，推动政府行政效能和城市管理水平大幅提升，全面提升城市精细化管理水平。创新投融资体制机制，建立政府引导、市场主导、多元主体参与的特色小镇建设运营模式。</w:t>
      </w:r>
    </w:p>
    <w:p>
      <w:pPr>
        <w:pStyle w:val="9"/>
        <w:widowControl w:val="0"/>
        <w:spacing w:line="520" w:lineRule="exact"/>
        <w:outlineLvl w:val="1"/>
        <w:rPr>
          <w:rFonts w:ascii="楷体" w:hAnsi="楷体" w:eastAsia="楷体"/>
        </w:rPr>
      </w:pPr>
      <w:bookmarkStart w:id="398" w:name="_Toc17303"/>
      <w:bookmarkStart w:id="399" w:name="_Toc21240"/>
      <w:bookmarkStart w:id="400" w:name="_Toc7055"/>
      <w:r>
        <w:rPr>
          <w:rFonts w:hint="eastAsia" w:ascii="楷体" w:hAnsi="楷体" w:eastAsia="楷体"/>
        </w:rPr>
        <w:t>第四节</w:t>
      </w:r>
      <w:r>
        <w:rPr>
          <w:rFonts w:ascii="楷体" w:hAnsi="楷体" w:eastAsia="楷体"/>
        </w:rPr>
        <w:t xml:space="preserve">  </w:t>
      </w:r>
      <w:r>
        <w:rPr>
          <w:rFonts w:hint="eastAsia" w:ascii="楷体" w:hAnsi="楷体" w:eastAsia="楷体"/>
        </w:rPr>
        <w:t>建设智慧</w:t>
      </w:r>
      <w:bookmarkEnd w:id="398"/>
      <w:bookmarkEnd w:id="399"/>
      <w:bookmarkEnd w:id="400"/>
      <w:r>
        <w:rPr>
          <w:rFonts w:hint="eastAsia" w:ascii="楷体" w:hAnsi="楷体" w:eastAsia="楷体"/>
        </w:rPr>
        <w:t>城市</w:t>
      </w:r>
    </w:p>
    <w:p>
      <w:pPr>
        <w:widowControl w:val="0"/>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打破“数据孤岛”，加快推进各部门间数据共享，提升党政机关信息化水平。超前布局</w:t>
      </w:r>
      <w:r>
        <w:rPr>
          <w:rFonts w:ascii="仿宋_GB2312" w:hAnsi="仿宋_GB2312" w:eastAsia="仿宋_GB2312" w:cs="仿宋_GB2312"/>
          <w:sz w:val="32"/>
          <w:szCs w:val="32"/>
        </w:rPr>
        <w:t>5G</w:t>
      </w:r>
      <w:r>
        <w:rPr>
          <w:rFonts w:hint="eastAsia" w:ascii="仿宋_GB2312" w:hAnsi="仿宋_GB2312" w:eastAsia="仿宋_GB2312" w:cs="仿宋_GB2312"/>
          <w:sz w:val="32"/>
          <w:szCs w:val="32"/>
        </w:rPr>
        <w:t>、物联网、人工智能、工业互联网、云计算等新型基础设施，提升“数字新基建”体系化支撑能力。加快建设社会管理信息化平台，实现全域物流、资金流、人流等全要素数字化、虚拟化、实时可视可控，打造精细智能社会治理样板区。开展国际互联网数据交互试点，探索发展国际化远程医疗、远程教育、国际旅游消费智能体验。推进数字产业化和产业数字化，推动数字经济和实体经济深度融合，构筑开放型数字经济创新高地。</w:t>
      </w:r>
    </w:p>
    <w:p>
      <w:pPr>
        <w:pStyle w:val="9"/>
        <w:widowControl w:val="0"/>
        <w:spacing w:line="520" w:lineRule="exact"/>
        <w:ind w:firstLine="321" w:firstLineChars="100"/>
        <w:rPr>
          <w:rFonts w:ascii="黑体" w:hAnsi="黑体" w:eastAsia="黑体"/>
        </w:rPr>
      </w:pPr>
      <w:bookmarkStart w:id="401" w:name="_Toc27579"/>
      <w:bookmarkStart w:id="402" w:name="_Toc2179"/>
      <w:bookmarkStart w:id="403" w:name="_Toc1803"/>
      <w:bookmarkStart w:id="404" w:name="_Toc17433"/>
      <w:bookmarkStart w:id="405" w:name="_Toc13038"/>
      <w:bookmarkStart w:id="406" w:name="_Toc5427"/>
      <w:bookmarkStart w:id="407" w:name="_Toc17973"/>
      <w:bookmarkStart w:id="408" w:name="_Toc8670"/>
      <w:bookmarkStart w:id="409" w:name="_Toc12328"/>
    </w:p>
    <w:p>
      <w:pPr>
        <w:rPr>
          <w:rFonts w:ascii="黑体" w:hAnsi="黑体" w:eastAsia="黑体"/>
        </w:rPr>
      </w:pPr>
    </w:p>
    <w:p>
      <w:pPr>
        <w:pStyle w:val="2"/>
        <w:ind w:firstLine="640"/>
        <w:rPr>
          <w:rFonts w:ascii="黑体" w:hAnsi="黑体" w:eastAsia="黑体"/>
          <w:color w:val="auto"/>
        </w:rPr>
      </w:pPr>
    </w:p>
    <w:p>
      <w:pPr>
        <w:pStyle w:val="2"/>
        <w:ind w:firstLine="640"/>
        <w:rPr>
          <w:rFonts w:ascii="黑体" w:hAnsi="黑体" w:eastAsia="黑体"/>
          <w:color w:val="auto"/>
        </w:rPr>
      </w:pPr>
    </w:p>
    <w:p>
      <w:pPr>
        <w:pStyle w:val="2"/>
        <w:ind w:firstLine="640"/>
        <w:rPr>
          <w:rFonts w:ascii="黑体" w:hAnsi="黑体" w:eastAsia="黑体"/>
          <w:color w:val="auto"/>
        </w:rPr>
      </w:pPr>
    </w:p>
    <w:p>
      <w:pPr>
        <w:pStyle w:val="2"/>
        <w:ind w:firstLine="640"/>
        <w:rPr>
          <w:rFonts w:ascii="黑体" w:hAnsi="黑体" w:eastAsia="黑体"/>
          <w:color w:val="auto"/>
        </w:rPr>
      </w:pPr>
    </w:p>
    <w:p>
      <w:pPr>
        <w:pStyle w:val="2"/>
        <w:ind w:firstLine="640"/>
        <w:rPr>
          <w:rFonts w:ascii="黑体" w:hAnsi="黑体" w:eastAsia="黑体"/>
          <w:color w:val="auto"/>
        </w:rPr>
      </w:pPr>
    </w:p>
    <w:p>
      <w:pPr>
        <w:pStyle w:val="2"/>
        <w:ind w:firstLine="640"/>
        <w:rPr>
          <w:rFonts w:ascii="黑体" w:hAnsi="黑体" w:eastAsia="黑体"/>
          <w:color w:val="auto"/>
        </w:rPr>
      </w:pPr>
    </w:p>
    <w:p>
      <w:pPr>
        <w:pStyle w:val="2"/>
        <w:ind w:firstLine="640"/>
        <w:rPr>
          <w:rFonts w:ascii="黑体" w:hAnsi="黑体" w:eastAsia="黑体"/>
          <w:color w:val="auto"/>
        </w:rPr>
      </w:pPr>
    </w:p>
    <w:p>
      <w:pPr>
        <w:pStyle w:val="2"/>
        <w:ind w:firstLine="640"/>
        <w:rPr>
          <w:rFonts w:ascii="黑体" w:hAnsi="黑体" w:eastAsia="黑体"/>
          <w:color w:val="auto"/>
        </w:rPr>
      </w:pPr>
    </w:p>
    <w:p>
      <w:pPr>
        <w:pStyle w:val="2"/>
        <w:ind w:firstLine="640"/>
        <w:rPr>
          <w:rFonts w:ascii="黑体" w:hAnsi="黑体" w:eastAsia="黑体"/>
          <w:color w:val="auto"/>
        </w:rPr>
      </w:pPr>
    </w:p>
    <w:p>
      <w:pPr>
        <w:pStyle w:val="2"/>
        <w:ind w:firstLine="640"/>
        <w:rPr>
          <w:rFonts w:ascii="黑体" w:hAnsi="黑体" w:eastAsia="黑体"/>
          <w:color w:val="auto"/>
        </w:rPr>
      </w:pPr>
    </w:p>
    <w:p>
      <w:pPr>
        <w:pStyle w:val="2"/>
        <w:ind w:firstLine="640"/>
        <w:rPr>
          <w:rFonts w:ascii="黑体" w:hAnsi="黑体" w:eastAsia="黑体"/>
          <w:color w:val="auto"/>
        </w:rPr>
      </w:pPr>
    </w:p>
    <w:p>
      <w:pPr>
        <w:pStyle w:val="2"/>
        <w:ind w:firstLine="640"/>
        <w:rPr>
          <w:rFonts w:ascii="黑体" w:hAnsi="黑体" w:eastAsia="黑体"/>
          <w:color w:val="auto"/>
        </w:rPr>
      </w:pPr>
    </w:p>
    <w:p>
      <w:pPr>
        <w:pStyle w:val="2"/>
        <w:ind w:firstLine="640"/>
        <w:rPr>
          <w:rFonts w:ascii="黑体" w:hAnsi="黑体" w:eastAsia="黑体"/>
          <w:color w:val="auto"/>
        </w:rPr>
      </w:pPr>
    </w:p>
    <w:p>
      <w:pPr>
        <w:pStyle w:val="2"/>
        <w:ind w:firstLine="640"/>
        <w:rPr>
          <w:rFonts w:ascii="黑体" w:hAnsi="黑体" w:eastAsia="黑体"/>
          <w:color w:val="auto"/>
        </w:rPr>
      </w:pPr>
    </w:p>
    <w:p>
      <w:pPr>
        <w:pStyle w:val="9"/>
        <w:widowControl w:val="0"/>
        <w:spacing w:line="520" w:lineRule="exact"/>
        <w:ind w:firstLine="321" w:firstLineChars="100"/>
        <w:rPr>
          <w:rFonts w:ascii="黑体" w:hAnsi="黑体" w:eastAsia="黑体"/>
        </w:rPr>
      </w:pPr>
      <w:r>
        <w:rPr>
          <w:rFonts w:hint="eastAsia" w:ascii="黑体" w:hAnsi="黑体" w:eastAsia="黑体"/>
        </w:rPr>
        <w:t>第九章</w:t>
      </w:r>
      <w:bookmarkEnd w:id="337"/>
      <w:bookmarkEnd w:id="338"/>
      <w:bookmarkEnd w:id="339"/>
      <w:bookmarkEnd w:id="340"/>
      <w:r>
        <w:rPr>
          <w:rFonts w:ascii="黑体" w:hAnsi="黑体" w:eastAsia="黑体"/>
        </w:rPr>
        <w:t xml:space="preserve"> </w:t>
      </w:r>
      <w:bookmarkStart w:id="410" w:name="_Toc56346961"/>
      <w:bookmarkStart w:id="411" w:name="_Toc7023"/>
      <w:r>
        <w:rPr>
          <w:rFonts w:hint="eastAsia" w:ascii="黑体" w:hAnsi="黑体" w:eastAsia="黑体"/>
        </w:rPr>
        <w:t>持续深化“五网”基础设施建设</w:t>
      </w:r>
      <w:bookmarkEnd w:id="401"/>
      <w:bookmarkEnd w:id="402"/>
      <w:bookmarkEnd w:id="403"/>
      <w:bookmarkEnd w:id="404"/>
      <w:bookmarkEnd w:id="405"/>
      <w:bookmarkEnd w:id="406"/>
      <w:bookmarkEnd w:id="407"/>
      <w:bookmarkEnd w:id="408"/>
      <w:bookmarkEnd w:id="409"/>
      <w:bookmarkEnd w:id="410"/>
      <w:bookmarkEnd w:id="411"/>
    </w:p>
    <w:p>
      <w:pPr>
        <w:widowControl w:val="0"/>
        <w:spacing w:line="52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以“多规合一”为引领，超前谋划实施一批重大基础设施工程，打造系统完备、高效实用、智能绿色、安全可靠的现代化基础设施体系。</w:t>
      </w:r>
    </w:p>
    <w:p>
      <w:pPr>
        <w:pStyle w:val="9"/>
        <w:widowControl w:val="0"/>
        <w:spacing w:line="520" w:lineRule="exact"/>
        <w:outlineLvl w:val="1"/>
        <w:rPr>
          <w:rFonts w:ascii="楷体" w:hAnsi="楷体" w:eastAsia="楷体"/>
        </w:rPr>
      </w:pPr>
      <w:bookmarkStart w:id="412" w:name="_Toc56346962"/>
      <w:bookmarkStart w:id="413" w:name="_Toc12628"/>
      <w:bookmarkStart w:id="414" w:name="_Toc5727"/>
      <w:bookmarkStart w:id="415" w:name="_Toc21659"/>
      <w:bookmarkStart w:id="416" w:name="_Toc20278"/>
      <w:bookmarkStart w:id="417" w:name="_Toc30589"/>
      <w:bookmarkStart w:id="418" w:name="_Toc19622"/>
      <w:bookmarkStart w:id="419" w:name="_Toc22286"/>
      <w:bookmarkStart w:id="420" w:name="_Toc27801"/>
      <w:bookmarkStart w:id="421" w:name="_Toc15936"/>
      <w:bookmarkStart w:id="422" w:name="_Toc5181"/>
      <w:r>
        <w:rPr>
          <w:rFonts w:hint="eastAsia" w:ascii="楷体" w:hAnsi="楷体" w:eastAsia="楷体"/>
        </w:rPr>
        <w:t>第一节</w:t>
      </w:r>
      <w:r>
        <w:rPr>
          <w:rFonts w:ascii="楷体" w:hAnsi="楷体" w:eastAsia="楷体"/>
        </w:rPr>
        <w:t xml:space="preserve">  </w:t>
      </w:r>
      <w:bookmarkEnd w:id="412"/>
      <w:bookmarkEnd w:id="413"/>
      <w:bookmarkEnd w:id="414"/>
      <w:bookmarkEnd w:id="415"/>
      <w:bookmarkEnd w:id="416"/>
      <w:bookmarkEnd w:id="417"/>
      <w:bookmarkEnd w:id="418"/>
      <w:bookmarkEnd w:id="419"/>
      <w:bookmarkEnd w:id="420"/>
      <w:bookmarkEnd w:id="421"/>
      <w:bookmarkEnd w:id="422"/>
      <w:r>
        <w:rPr>
          <w:rFonts w:hint="eastAsia" w:ascii="楷体" w:hAnsi="楷体" w:eastAsia="楷体"/>
        </w:rPr>
        <w:t>构建通畅通达的交通网</w:t>
      </w:r>
    </w:p>
    <w:p>
      <w:pPr>
        <w:widowControl w:val="0"/>
        <w:spacing w:line="52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实施海南东部地区综合交通枢纽建设工程，形成高速公路、高铁、航空、港口等为支撑的“横、纵、支”串联，“海、陆、空”通达的立体交通体系。系统谋划城区交通网络优化工程、乡镇交通网大循环工程、机场铁路高速公路客运零距离换乘和货运无缝对接工程、公共交通服务能力提升工程，推进形成万泉河与东海岸构成</w:t>
      </w:r>
      <w:r>
        <w:rPr>
          <w:rFonts w:ascii="仿宋_GB2312" w:hAnsi="仿宋_GB2312" w:eastAsia="仿宋_GB2312" w:cs="仿宋_GB2312"/>
          <w:sz w:val="32"/>
          <w:szCs w:val="32"/>
        </w:rPr>
        <w:t>T字形水上旅游</w:t>
      </w:r>
      <w:r>
        <w:rPr>
          <w:rFonts w:hint="eastAsia" w:ascii="仿宋_GB2312" w:hAnsi="仿宋_GB2312" w:eastAsia="仿宋_GB2312" w:cs="仿宋_GB2312"/>
          <w:sz w:val="32"/>
          <w:szCs w:val="32"/>
        </w:rPr>
        <w:t>交通格局。科学规划建设城镇停车设施，加强充电、加氢、加气和公交站点等设施建设，加快城乡公交一体化进程。全面推进“四好农村路”建设，创新农村公路发展投融资机制，建立规范化可持续管护机制，完善市、镇、村三级路长制。</w:t>
      </w:r>
    </w:p>
    <w:tbl>
      <w:tblPr>
        <w:tblStyle w:val="1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288" w:type="dxa"/>
          </w:tcPr>
          <w:p>
            <w:pPr>
              <w:widowControl w:val="0"/>
              <w:spacing w:line="460" w:lineRule="exact"/>
              <w:jc w:val="center"/>
              <w:rPr>
                <w:rFonts w:ascii="Times New Roman" w:hAnsi="Times New Roman" w:eastAsia="黑体"/>
                <w:b/>
                <w:sz w:val="28"/>
                <w:szCs w:val="28"/>
              </w:rPr>
            </w:pPr>
            <w:r>
              <w:rPr>
                <w:rFonts w:hint="eastAsia" w:ascii="黑体" w:hAnsi="黑体" w:eastAsia="黑体"/>
                <w:b/>
                <w:sz w:val="28"/>
                <w:szCs w:val="28"/>
              </w:rPr>
              <w:t>专栏15</w:t>
            </w:r>
            <w:r>
              <w:rPr>
                <w:rFonts w:ascii="黑体" w:hAnsi="黑体" w:eastAsia="黑体"/>
                <w:b/>
                <w:sz w:val="28"/>
                <w:szCs w:val="28"/>
              </w:rPr>
              <w:t>：“十四五”时期琼海市“路网”规划建设重点工程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8" w:type="dxa"/>
          </w:tcPr>
          <w:p>
            <w:pPr>
              <w:widowControl w:val="0"/>
              <w:spacing w:line="520" w:lineRule="exact"/>
              <w:ind w:firstLine="542" w:firstLineChars="193"/>
              <w:rPr>
                <w:rFonts w:ascii="楷体_GB2312" w:hAnsi="楷体_GB2312" w:eastAsia="楷体_GB2312" w:cs="楷体_GB2312"/>
                <w:b/>
                <w:color w:val="FF0000"/>
                <w:sz w:val="28"/>
                <w:szCs w:val="28"/>
              </w:rPr>
            </w:pPr>
            <w:r>
              <w:rPr>
                <w:rFonts w:ascii="楷体_GB2312" w:hAnsi="楷体_GB2312" w:eastAsia="楷体_GB2312" w:cs="楷体_GB2312"/>
                <w:b/>
                <w:color w:val="FF0000"/>
                <w:sz w:val="28"/>
                <w:szCs w:val="28"/>
              </w:rPr>
              <w:t>01.</w:t>
            </w:r>
            <w:r>
              <w:rPr>
                <w:rFonts w:hint="eastAsia" w:ascii="楷体_GB2312" w:hAnsi="楷体_GB2312" w:eastAsia="楷体_GB2312" w:cs="楷体_GB2312"/>
                <w:b/>
                <w:color w:val="FF0000"/>
                <w:sz w:val="28"/>
                <w:szCs w:val="28"/>
              </w:rPr>
              <w:t xml:space="preserve">海南省G9812高速公路延长线工程 </w:t>
            </w:r>
          </w:p>
          <w:p>
            <w:pPr>
              <w:widowControl w:val="0"/>
              <w:spacing w:line="520" w:lineRule="exact"/>
              <w:ind w:firstLine="540" w:firstLineChars="193"/>
              <w:rPr>
                <w:rFonts w:ascii="仿宋_GB2312" w:hAnsi="仿宋_GB2312" w:eastAsia="仿宋_GB2312" w:cs="仿宋_GB2312"/>
                <w:b/>
                <w:color w:val="FF0000"/>
                <w:sz w:val="28"/>
                <w:szCs w:val="28"/>
              </w:rPr>
            </w:pPr>
            <w:r>
              <w:rPr>
                <w:rFonts w:hint="eastAsia" w:ascii="仿宋_GB2312" w:hAnsi="仿宋_GB2312" w:eastAsia="仿宋_GB2312" w:cs="仿宋_GB2312"/>
                <w:color w:val="FF0000"/>
                <w:sz w:val="28"/>
                <w:szCs w:val="28"/>
              </w:rPr>
              <w:t>建设博鳌至会山段高度公路延长线，主线全长23.944公里，连接线全长5.284公里。</w:t>
            </w:r>
          </w:p>
          <w:p>
            <w:pPr>
              <w:widowControl w:val="0"/>
              <w:spacing w:line="52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w:t>
            </w:r>
            <w:r>
              <w:rPr>
                <w:rFonts w:hint="eastAsia" w:ascii="楷体_GB2312" w:hAnsi="楷体_GB2312" w:eastAsia="楷体_GB2312" w:cs="楷体_GB2312"/>
                <w:b/>
                <w:sz w:val="28"/>
                <w:szCs w:val="28"/>
              </w:rPr>
              <w:t>2</w:t>
            </w:r>
            <w:r>
              <w:rPr>
                <w:rFonts w:ascii="楷体_GB2312" w:hAnsi="楷体_GB2312" w:eastAsia="楷体_GB2312" w:cs="楷体_GB2312"/>
                <w:b/>
                <w:sz w:val="28"/>
                <w:szCs w:val="28"/>
              </w:rPr>
              <w:t>.琼海教育新建校区车站路（二期）</w:t>
            </w:r>
          </w:p>
          <w:p>
            <w:pPr>
              <w:widowControl w:val="0"/>
              <w:spacing w:line="520" w:lineRule="exact"/>
              <w:ind w:firstLine="546" w:firstLineChars="195"/>
              <w:rPr>
                <w:rFonts w:ascii="仿宋_GB2312" w:hAnsi="仿宋_GB2312" w:eastAsia="仿宋_GB2312" w:cs="仿宋_GB2312"/>
                <w:sz w:val="28"/>
                <w:szCs w:val="28"/>
              </w:rPr>
            </w:pPr>
            <w:r>
              <w:rPr>
                <w:rFonts w:hint="eastAsia" w:ascii="仿宋_GB2312" w:hAnsi="仿宋_GB2312" w:eastAsia="仿宋_GB2312" w:cs="仿宋_GB2312"/>
                <w:sz w:val="28"/>
                <w:szCs w:val="28"/>
              </w:rPr>
              <w:t>建设一条南起现状豪华路、北止于兴海南路,全长为1338.707m的双向四车道城市次干道。</w:t>
            </w:r>
          </w:p>
          <w:p>
            <w:pPr>
              <w:widowControl w:val="0"/>
              <w:spacing w:line="52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w:t>
            </w:r>
            <w:r>
              <w:rPr>
                <w:rFonts w:hint="eastAsia" w:ascii="楷体_GB2312" w:hAnsi="楷体_GB2312" w:eastAsia="楷体_GB2312" w:cs="楷体_GB2312"/>
                <w:b/>
                <w:sz w:val="28"/>
                <w:szCs w:val="28"/>
              </w:rPr>
              <w:t>3</w:t>
            </w:r>
            <w:r>
              <w:rPr>
                <w:rFonts w:ascii="楷体_GB2312" w:hAnsi="楷体_GB2312" w:eastAsia="楷体_GB2312" w:cs="楷体_GB2312"/>
                <w:b/>
                <w:sz w:val="28"/>
                <w:szCs w:val="28"/>
              </w:rPr>
              <w:t>.</w:t>
            </w:r>
            <w:r>
              <w:rPr>
                <w:rFonts w:hint="eastAsia" w:ascii="楷体_GB2312" w:hAnsi="楷体_GB2312" w:eastAsia="楷体_GB2312" w:cs="楷体_GB2312"/>
                <w:b/>
                <w:sz w:val="28"/>
                <w:szCs w:val="28"/>
              </w:rPr>
              <w:t>博鳌机场至博鳌动车站云轨试验段</w:t>
            </w:r>
          </w:p>
          <w:p>
            <w:pPr>
              <w:widowControl w:val="0"/>
              <w:spacing w:line="520" w:lineRule="exact"/>
              <w:ind w:firstLine="540" w:firstLineChars="193"/>
              <w:rPr>
                <w:rFonts w:ascii="仿宋_GB2312" w:hAnsi="仿宋_GB2312" w:eastAsia="仿宋_GB2312" w:cs="仿宋_GB2312"/>
                <w:b/>
                <w:sz w:val="28"/>
                <w:szCs w:val="28"/>
              </w:rPr>
            </w:pPr>
            <w:r>
              <w:rPr>
                <w:rFonts w:hint="eastAsia" w:ascii="仿宋_GB2312" w:hAnsi="仿宋_GB2312" w:eastAsia="仿宋_GB2312" w:cs="仿宋_GB2312"/>
                <w:sz w:val="28"/>
                <w:szCs w:val="28"/>
              </w:rPr>
              <w:t>采用云轨方式建设轨道交通，实现机场到动车站的无缝衔接。</w:t>
            </w:r>
          </w:p>
          <w:p>
            <w:pPr>
              <w:widowControl w:val="0"/>
              <w:spacing w:line="52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w:t>
            </w:r>
            <w:r>
              <w:rPr>
                <w:rFonts w:hint="eastAsia" w:ascii="楷体_GB2312" w:hAnsi="楷体_GB2312" w:eastAsia="楷体_GB2312" w:cs="楷体_GB2312"/>
                <w:b/>
                <w:sz w:val="28"/>
                <w:szCs w:val="28"/>
              </w:rPr>
              <w:t>4</w:t>
            </w:r>
            <w:r>
              <w:rPr>
                <w:rFonts w:ascii="楷体_GB2312" w:hAnsi="楷体_GB2312" w:eastAsia="楷体_GB2312" w:cs="楷体_GB2312"/>
                <w:b/>
                <w:sz w:val="28"/>
                <w:szCs w:val="28"/>
              </w:rPr>
              <w:t>.</w:t>
            </w:r>
            <w:r>
              <w:rPr>
                <w:rFonts w:hint="eastAsia" w:ascii="楷体_GB2312" w:hAnsi="楷体_GB2312" w:eastAsia="楷体_GB2312" w:cs="楷体_GB2312"/>
                <w:b/>
                <w:sz w:val="28"/>
                <w:szCs w:val="28"/>
              </w:rPr>
              <w:t>G98环岛高速至环岛旅游公路琼海北部通道</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依托高速公路和环岛旅游公路的优势，连接G98环岛高速、G9812（文琼高速）和环岛旅游公路，建设大路—塔洋—长坡（龙湾港）—黄竹（定安县）新通道，全长65.318公里。</w:t>
            </w:r>
          </w:p>
          <w:p>
            <w:pPr>
              <w:widowControl w:val="0"/>
              <w:spacing w:line="520" w:lineRule="exact"/>
              <w:ind w:firstLine="542" w:firstLineChars="193"/>
              <w:rPr>
                <w:rFonts w:ascii="楷体_GB2312" w:hAnsi="楷体_GB2312" w:eastAsia="楷体_GB2312" w:cs="楷体_GB2312"/>
                <w:b/>
                <w:sz w:val="28"/>
                <w:szCs w:val="28"/>
              </w:rPr>
            </w:pPr>
            <w:r>
              <w:rPr>
                <w:rFonts w:hint="eastAsia" w:ascii="楷体_GB2312" w:hAnsi="楷体_GB2312" w:eastAsia="楷体_GB2312" w:cs="楷体_GB2312"/>
                <w:b/>
                <w:sz w:val="28"/>
                <w:szCs w:val="28"/>
              </w:rPr>
              <w:t>05</w:t>
            </w:r>
            <w:r>
              <w:rPr>
                <w:rFonts w:ascii="楷体_GB2312" w:hAnsi="楷体_GB2312" w:eastAsia="楷体_GB2312" w:cs="楷体_GB2312"/>
                <w:b/>
                <w:sz w:val="28"/>
                <w:szCs w:val="28"/>
              </w:rPr>
              <w:t>.城区交通网络优化工程</w:t>
            </w:r>
          </w:p>
          <w:p>
            <w:pPr>
              <w:widowControl w:val="0"/>
              <w:spacing w:line="520" w:lineRule="exact"/>
              <w:ind w:firstLine="560" w:firstLineChars="200"/>
              <w:rPr>
                <w:rFonts w:ascii="仿宋" w:hAnsi="仿宋" w:eastAsia="仿宋" w:cs="仿宋"/>
                <w:sz w:val="28"/>
                <w:szCs w:val="28"/>
              </w:rPr>
            </w:pPr>
            <w:r>
              <w:rPr>
                <w:rFonts w:hint="eastAsia" w:ascii="仿宋_GB2312" w:hAnsi="仿宋_GB2312" w:eastAsia="仿宋_GB2312" w:cs="仿宋_GB2312"/>
                <w:sz w:val="28"/>
                <w:szCs w:val="28"/>
              </w:rPr>
              <w:t xml:space="preserve">系统规划嘉积城区交通网络系统，进一步完善人民路、康祥路、万石墟之间的交通路网。布局完善嘉积、中原、博鳌、潭门区域交通小循环。  </w:t>
            </w:r>
            <w:r>
              <w:rPr>
                <w:rFonts w:ascii="仿宋" w:hAnsi="仿宋" w:eastAsia="仿宋" w:cs="仿宋"/>
                <w:sz w:val="28"/>
                <w:szCs w:val="28"/>
              </w:rPr>
              <w:t xml:space="preserve"> </w:t>
            </w:r>
          </w:p>
          <w:p>
            <w:pPr>
              <w:widowControl w:val="0"/>
              <w:spacing w:line="520" w:lineRule="exact"/>
              <w:ind w:firstLine="562" w:firstLineChars="200"/>
              <w:rPr>
                <w:rFonts w:ascii="楷体_GB2312" w:hAnsi="楷体_GB2312" w:eastAsia="楷体_GB2312" w:cs="楷体_GB2312"/>
                <w:b/>
                <w:sz w:val="28"/>
                <w:szCs w:val="28"/>
              </w:rPr>
            </w:pPr>
            <w:r>
              <w:rPr>
                <w:rFonts w:hint="eastAsia" w:ascii="楷体_GB2312" w:hAnsi="楷体_GB2312" w:eastAsia="楷体_GB2312" w:cs="楷体_GB2312"/>
                <w:b/>
                <w:sz w:val="28"/>
                <w:szCs w:val="28"/>
              </w:rPr>
              <w:t>06</w:t>
            </w:r>
            <w:r>
              <w:rPr>
                <w:rFonts w:ascii="楷体_GB2312" w:hAnsi="楷体_GB2312" w:eastAsia="楷体_GB2312" w:cs="楷体_GB2312"/>
                <w:b/>
                <w:sz w:val="28"/>
                <w:szCs w:val="28"/>
              </w:rPr>
              <w:t>.公共交通服务能力提升工程</w:t>
            </w:r>
          </w:p>
          <w:p>
            <w:pPr>
              <w:widowControl w:val="0"/>
              <w:spacing w:line="520" w:lineRule="exact"/>
              <w:ind w:firstLine="560" w:firstLineChars="200"/>
              <w:rPr>
                <w:rFonts w:ascii="仿宋" w:hAnsi="仿宋" w:eastAsia="仿宋" w:cs="仿宋"/>
                <w:sz w:val="28"/>
                <w:szCs w:val="28"/>
              </w:rPr>
            </w:pPr>
            <w:r>
              <w:rPr>
                <w:rFonts w:hint="eastAsia" w:ascii="仿宋_GB2312" w:hAnsi="仿宋_GB2312" w:eastAsia="仿宋_GB2312" w:cs="仿宋_GB2312"/>
                <w:sz w:val="28"/>
                <w:szCs w:val="28"/>
              </w:rPr>
              <w:t>整合出租车、公交车等企业，以标准化、规范化管理方式提升城市服务形象，提升信息化的便利程度，方便游客和城市居民享受改革红利。</w:t>
            </w:r>
            <w:r>
              <w:rPr>
                <w:rFonts w:ascii="仿宋" w:hAnsi="仿宋" w:eastAsia="仿宋" w:cs="仿宋"/>
                <w:sz w:val="28"/>
                <w:szCs w:val="28"/>
              </w:rPr>
              <w:t xml:space="preserve"> </w:t>
            </w:r>
          </w:p>
          <w:p>
            <w:pPr>
              <w:pStyle w:val="3"/>
              <w:widowControl w:val="0"/>
              <w:spacing w:line="520" w:lineRule="exact"/>
              <w:rPr>
                <w:rFonts w:ascii="楷体_GB2312" w:hAnsi="楷体_GB2312" w:eastAsia="楷体_GB2312" w:cs="楷体_GB2312"/>
                <w:b/>
                <w:color w:val="FF0000"/>
                <w:sz w:val="28"/>
                <w:szCs w:val="28"/>
              </w:rPr>
            </w:pPr>
            <w:r>
              <w:rPr>
                <w:rFonts w:ascii="仿宋" w:hAnsi="仿宋" w:eastAsia="仿宋" w:cs="仿宋"/>
                <w:sz w:val="28"/>
                <w:szCs w:val="28"/>
              </w:rPr>
              <w:t xml:space="preserve"> </w:t>
            </w:r>
            <w:r>
              <w:rPr>
                <w:rFonts w:ascii="仿宋" w:hAnsi="仿宋" w:eastAsia="仿宋" w:cs="仿宋"/>
                <w:color w:val="FF0000"/>
                <w:sz w:val="28"/>
                <w:szCs w:val="28"/>
              </w:rPr>
              <w:t xml:space="preserve">  </w:t>
            </w:r>
            <w:r>
              <w:rPr>
                <w:rFonts w:hint="eastAsia" w:ascii="仿宋" w:hAnsi="仿宋" w:eastAsia="仿宋" w:cs="仿宋"/>
                <w:color w:val="FF0000"/>
                <w:sz w:val="28"/>
                <w:szCs w:val="28"/>
              </w:rPr>
              <w:t xml:space="preserve"> </w:t>
            </w:r>
            <w:r>
              <w:rPr>
                <w:rFonts w:hint="eastAsia" w:ascii="楷体_GB2312" w:hAnsi="楷体_GB2312" w:eastAsia="楷体_GB2312" w:cs="楷体_GB2312"/>
                <w:b/>
                <w:color w:val="FF0000"/>
                <w:sz w:val="28"/>
                <w:szCs w:val="28"/>
              </w:rPr>
              <w:t>07</w:t>
            </w:r>
            <w:r>
              <w:rPr>
                <w:rFonts w:ascii="楷体_GB2312" w:hAnsi="楷体_GB2312" w:eastAsia="楷体_GB2312" w:cs="楷体_GB2312"/>
                <w:b/>
                <w:color w:val="FF0000"/>
                <w:sz w:val="28"/>
                <w:szCs w:val="28"/>
              </w:rPr>
              <w:t>.</w:t>
            </w:r>
            <w:r>
              <w:rPr>
                <w:rFonts w:hint="eastAsia" w:ascii="楷体_GB2312" w:hAnsi="楷体_GB2312" w:eastAsia="楷体_GB2312" w:cs="楷体_GB2312"/>
                <w:b/>
                <w:color w:val="FF0000"/>
                <w:sz w:val="28"/>
                <w:szCs w:val="28"/>
              </w:rPr>
              <w:t>G98环岛高速公路海口至博鳌段改扩建工程</w:t>
            </w:r>
            <w:r>
              <w:rPr>
                <w:rFonts w:ascii="楷体_GB2312" w:hAnsi="楷体_GB2312" w:eastAsia="楷体_GB2312" w:cs="楷体_GB2312"/>
                <w:b/>
                <w:color w:val="FF0000"/>
                <w:sz w:val="28"/>
                <w:szCs w:val="28"/>
              </w:rPr>
              <w:tab/>
            </w:r>
          </w:p>
          <w:p>
            <w:pPr>
              <w:pStyle w:val="3"/>
              <w:widowControl w:val="0"/>
              <w:spacing w:line="520" w:lineRule="exact"/>
              <w:ind w:firstLine="562"/>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对G98环岛高速公路海口至博鳌段进行改造，路段长度38公里。</w:t>
            </w:r>
          </w:p>
          <w:p>
            <w:pPr>
              <w:widowControl w:val="0"/>
              <w:spacing w:line="520" w:lineRule="exact"/>
              <w:ind w:firstLine="562" w:firstLineChars="200"/>
              <w:rPr>
                <w:rFonts w:ascii="楷体_GB2312" w:hAnsi="楷体_GB2312" w:eastAsia="楷体_GB2312" w:cs="楷体_GB2312"/>
                <w:b/>
                <w:sz w:val="28"/>
                <w:szCs w:val="28"/>
              </w:rPr>
            </w:pPr>
            <w:r>
              <w:rPr>
                <w:rFonts w:hint="eastAsia" w:ascii="楷体_GB2312" w:hAnsi="楷体_GB2312" w:eastAsia="楷体_GB2312" w:cs="楷体_GB2312"/>
                <w:b/>
                <w:sz w:val="28"/>
                <w:szCs w:val="28"/>
              </w:rPr>
              <w:t>08</w:t>
            </w:r>
            <w:r>
              <w:rPr>
                <w:rFonts w:ascii="楷体_GB2312" w:hAnsi="楷体_GB2312" w:eastAsia="楷体_GB2312" w:cs="楷体_GB2312"/>
                <w:b/>
                <w:sz w:val="28"/>
                <w:szCs w:val="28"/>
              </w:rPr>
              <w:t>.S202石壁-阳江公路普通国省道</w:t>
            </w:r>
            <w:r>
              <w:rPr>
                <w:rFonts w:ascii="楷体_GB2312" w:hAnsi="楷体_GB2312" w:eastAsia="楷体_GB2312" w:cs="楷体_GB2312"/>
                <w:b/>
                <w:sz w:val="28"/>
                <w:szCs w:val="28"/>
              </w:rPr>
              <w:tab/>
            </w:r>
          </w:p>
          <w:p>
            <w:pPr>
              <w:pStyle w:val="3"/>
              <w:widowControl w:val="0"/>
              <w:spacing w:line="520" w:lineRule="exact"/>
              <w:rPr>
                <w:rFonts w:ascii="仿宋" w:hAnsi="仿宋" w:eastAsia="仿宋" w:cs="仿宋"/>
                <w:sz w:val="28"/>
                <w:szCs w:val="28"/>
              </w:rPr>
            </w:pPr>
            <w:r>
              <w:t xml:space="preserve">   </w:t>
            </w:r>
            <w:r>
              <w:rPr>
                <w:rFonts w:hint="eastAsia" w:ascii="仿宋_GB2312" w:hAnsi="仿宋_GB2312" w:eastAsia="仿宋_GB2312" w:cs="仿宋_GB2312"/>
                <w:sz w:val="28"/>
                <w:szCs w:val="28"/>
              </w:rPr>
              <w:t>改造石壁至阳江省道公路，路段长度16公里。</w:t>
            </w:r>
          </w:p>
          <w:p>
            <w:pPr>
              <w:pStyle w:val="3"/>
              <w:widowControl w:val="0"/>
              <w:spacing w:line="520" w:lineRule="exact"/>
              <w:ind w:left="560"/>
              <w:rPr>
                <w:rFonts w:ascii="楷体_GB2312" w:hAnsi="楷体_GB2312" w:eastAsia="楷体_GB2312" w:cs="楷体_GB2312"/>
                <w:b/>
                <w:sz w:val="28"/>
                <w:szCs w:val="28"/>
              </w:rPr>
            </w:pPr>
            <w:r>
              <w:rPr>
                <w:rFonts w:hint="eastAsia" w:ascii="楷体_GB2312" w:hAnsi="楷体_GB2312" w:eastAsia="楷体_GB2312" w:cs="楷体_GB2312"/>
                <w:b/>
                <w:sz w:val="28"/>
                <w:szCs w:val="28"/>
              </w:rPr>
              <w:t>09</w:t>
            </w:r>
            <w:r>
              <w:rPr>
                <w:rFonts w:ascii="楷体_GB2312" w:hAnsi="楷体_GB2312" w:eastAsia="楷体_GB2312" w:cs="楷体_GB2312"/>
                <w:b/>
                <w:sz w:val="28"/>
                <w:szCs w:val="28"/>
              </w:rPr>
              <w:t>.万泉-中瑞农场公路</w:t>
            </w:r>
          </w:p>
          <w:p>
            <w:pPr>
              <w:pStyle w:val="3"/>
              <w:widowControl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建设一条万泉至屯城，路段长度为8.5公里的公路。</w:t>
            </w:r>
          </w:p>
          <w:p>
            <w:pPr>
              <w:pStyle w:val="3"/>
              <w:widowControl w:val="0"/>
              <w:spacing w:line="520" w:lineRule="exact"/>
              <w:rPr>
                <w:rFonts w:ascii="仿宋" w:hAnsi="仿宋" w:eastAsia="仿宋" w:cs="仿宋"/>
                <w:sz w:val="28"/>
                <w:szCs w:val="28"/>
              </w:rPr>
            </w:pPr>
            <w:r>
              <w:rPr>
                <w:rFonts w:ascii="仿宋" w:hAnsi="仿宋" w:eastAsia="仿宋" w:cs="仿宋"/>
                <w:sz w:val="28"/>
                <w:szCs w:val="28"/>
              </w:rPr>
              <w:tab/>
            </w:r>
            <w:r>
              <w:rPr>
                <w:rFonts w:ascii="楷体_GB2312" w:hAnsi="楷体_GB2312" w:eastAsia="楷体_GB2312" w:cs="楷体_GB2312"/>
                <w:b/>
                <w:sz w:val="28"/>
                <w:szCs w:val="28"/>
              </w:rPr>
              <w:t xml:space="preserve"> 1</w:t>
            </w:r>
            <w:r>
              <w:rPr>
                <w:rFonts w:hint="eastAsia" w:ascii="楷体_GB2312" w:hAnsi="楷体_GB2312" w:eastAsia="楷体_GB2312" w:cs="楷体_GB2312"/>
                <w:b/>
                <w:sz w:val="28"/>
                <w:szCs w:val="28"/>
              </w:rPr>
              <w:t>0</w:t>
            </w:r>
            <w:r>
              <w:rPr>
                <w:rFonts w:ascii="楷体_GB2312" w:hAnsi="楷体_GB2312" w:eastAsia="楷体_GB2312" w:cs="楷体_GB2312"/>
                <w:b/>
                <w:sz w:val="28"/>
                <w:szCs w:val="28"/>
              </w:rPr>
              <w:t>.高等级农村公路</w:t>
            </w:r>
            <w:r>
              <w:rPr>
                <w:rFonts w:ascii="楷体_GB2312" w:hAnsi="楷体_GB2312" w:eastAsia="楷体_GB2312" w:cs="楷体_GB2312"/>
                <w:b/>
                <w:sz w:val="28"/>
                <w:szCs w:val="28"/>
              </w:rPr>
              <w:tab/>
            </w:r>
            <w:r>
              <w:rPr>
                <w:rFonts w:ascii="仿宋" w:hAnsi="仿宋" w:eastAsia="仿宋" w:cs="仿宋"/>
                <w:sz w:val="28"/>
                <w:szCs w:val="28"/>
              </w:rPr>
              <w:tab/>
            </w:r>
            <w:r>
              <w:rPr>
                <w:rFonts w:ascii="仿宋" w:hAnsi="仿宋" w:eastAsia="仿宋" w:cs="仿宋"/>
                <w:sz w:val="28"/>
                <w:szCs w:val="28"/>
              </w:rPr>
              <w:tab/>
            </w:r>
            <w:r>
              <w:rPr>
                <w:rFonts w:ascii="仿宋" w:hAnsi="仿宋" w:eastAsia="仿宋" w:cs="仿宋"/>
                <w:sz w:val="28"/>
                <w:szCs w:val="28"/>
              </w:rPr>
              <w:tab/>
            </w:r>
          </w:p>
          <w:p>
            <w:pPr>
              <w:pStyle w:val="3"/>
              <w:widowControl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建设三条农村公路，其中，南俸至南通（市界）公路，路段长度10.1公里；东太农场（东太二桥）至红色娘子军故乡阳江镇，路段长度4.3公里；东太农场至南方农场（市界）公路，路段长度11.8公里。</w:t>
            </w:r>
            <w:r>
              <w:rPr>
                <w:rFonts w:hint="eastAsia" w:ascii="仿宋_GB2312" w:hAnsi="仿宋_GB2312" w:eastAsia="仿宋_GB2312" w:cs="仿宋_GB2312"/>
                <w:sz w:val="28"/>
                <w:szCs w:val="28"/>
              </w:rPr>
              <w:tab/>
            </w:r>
          </w:p>
          <w:p>
            <w:pPr>
              <w:pStyle w:val="3"/>
              <w:widowControl w:val="0"/>
              <w:spacing w:line="520" w:lineRule="exact"/>
              <w:rPr>
                <w:rFonts w:ascii="楷体_GB2312" w:hAnsi="楷体_GB2312" w:eastAsia="楷体_GB2312" w:cs="楷体_GB2312"/>
                <w:b/>
                <w:sz w:val="28"/>
                <w:szCs w:val="28"/>
              </w:rPr>
            </w:pPr>
            <w:r>
              <w:rPr>
                <w:rFonts w:ascii="仿宋" w:hAnsi="仿宋" w:eastAsia="仿宋" w:cs="仿宋"/>
                <w:sz w:val="28"/>
                <w:szCs w:val="28"/>
              </w:rPr>
              <w:tab/>
            </w:r>
            <w:r>
              <w:rPr>
                <w:rFonts w:ascii="楷体_GB2312" w:hAnsi="楷体_GB2312" w:eastAsia="楷体_GB2312" w:cs="楷体_GB2312"/>
                <w:b/>
                <w:sz w:val="28"/>
                <w:szCs w:val="28"/>
              </w:rPr>
              <w:t xml:space="preserve"> 1</w:t>
            </w:r>
            <w:r>
              <w:rPr>
                <w:rFonts w:hint="eastAsia" w:ascii="楷体_GB2312" w:hAnsi="楷体_GB2312" w:eastAsia="楷体_GB2312" w:cs="楷体_GB2312"/>
                <w:b/>
                <w:sz w:val="28"/>
                <w:szCs w:val="28"/>
              </w:rPr>
              <w:t>1</w:t>
            </w:r>
            <w:r>
              <w:rPr>
                <w:rFonts w:ascii="楷体_GB2312" w:hAnsi="楷体_GB2312" w:eastAsia="楷体_GB2312" w:cs="楷体_GB2312"/>
                <w:b/>
                <w:sz w:val="28"/>
                <w:szCs w:val="28"/>
              </w:rPr>
              <w:t>.旅游公路</w:t>
            </w:r>
          </w:p>
          <w:p>
            <w:pPr>
              <w:pStyle w:val="3"/>
              <w:widowControl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建设环岛高速琼海互通至海城时代广场道路改建工程、人民路延长线至乐城道路工程、环岛高速琼海互通至万泉镇道路工程三条旅游公路。</w:t>
            </w:r>
          </w:p>
          <w:p>
            <w:pPr>
              <w:pStyle w:val="3"/>
              <w:widowControl w:val="0"/>
              <w:spacing w:line="520" w:lineRule="exact"/>
              <w:ind w:firstLine="562" w:firstLineChars="200"/>
              <w:rPr>
                <w:rFonts w:ascii="楷体_GB2312" w:hAnsi="楷体_GB2312" w:eastAsia="楷体_GB2312" w:cs="楷体_GB2312"/>
                <w:b/>
                <w:sz w:val="28"/>
                <w:szCs w:val="28"/>
              </w:rPr>
            </w:pPr>
            <w:r>
              <w:rPr>
                <w:rFonts w:ascii="楷体_GB2312" w:hAnsi="楷体_GB2312" w:eastAsia="楷体_GB2312" w:cs="楷体_GB2312"/>
                <w:b/>
                <w:sz w:val="28"/>
                <w:szCs w:val="28"/>
              </w:rPr>
              <w:t>1</w:t>
            </w:r>
            <w:r>
              <w:rPr>
                <w:rFonts w:hint="eastAsia" w:ascii="楷体_GB2312" w:hAnsi="楷体_GB2312" w:eastAsia="楷体_GB2312" w:cs="楷体_GB2312"/>
                <w:b/>
                <w:sz w:val="28"/>
                <w:szCs w:val="28"/>
              </w:rPr>
              <w:t>2</w:t>
            </w:r>
            <w:r>
              <w:rPr>
                <w:rFonts w:ascii="楷体_GB2312" w:hAnsi="楷体_GB2312" w:eastAsia="楷体_GB2312" w:cs="楷体_GB2312"/>
                <w:b/>
                <w:sz w:val="28"/>
                <w:szCs w:val="28"/>
              </w:rPr>
              <w:t>.新建</w:t>
            </w:r>
            <w:r>
              <w:rPr>
                <w:rFonts w:hint="eastAsia" w:ascii="楷体_GB2312" w:hAnsi="楷体_GB2312" w:eastAsia="楷体_GB2312" w:cs="楷体_GB2312"/>
                <w:b/>
                <w:sz w:val="28"/>
                <w:szCs w:val="28"/>
              </w:rPr>
              <w:t>和改造</w:t>
            </w:r>
            <w:r>
              <w:rPr>
                <w:rFonts w:ascii="楷体_GB2312" w:hAnsi="楷体_GB2312" w:eastAsia="楷体_GB2312" w:cs="楷体_GB2312"/>
                <w:b/>
                <w:sz w:val="28"/>
                <w:szCs w:val="28"/>
              </w:rPr>
              <w:t>桥梁</w:t>
            </w:r>
            <w:r>
              <w:rPr>
                <w:rFonts w:hint="eastAsia" w:ascii="楷体_GB2312" w:hAnsi="楷体_GB2312" w:eastAsia="楷体_GB2312" w:cs="楷体_GB2312"/>
                <w:b/>
                <w:sz w:val="28"/>
                <w:szCs w:val="28"/>
              </w:rPr>
              <w:t>工程</w:t>
            </w:r>
          </w:p>
          <w:p>
            <w:pPr>
              <w:pStyle w:val="3"/>
              <w:widowControl w:val="0"/>
              <w:spacing w:line="520" w:lineRule="exact"/>
              <w:ind w:firstLine="564"/>
              <w:rPr>
                <w:rFonts w:ascii="仿宋_GB2312" w:hAnsi="仿宋_GB2312" w:eastAsia="仿宋_GB2312" w:cs="仿宋_GB2312"/>
                <w:sz w:val="28"/>
                <w:szCs w:val="28"/>
              </w:rPr>
            </w:pPr>
            <w:r>
              <w:rPr>
                <w:rFonts w:hint="eastAsia" w:ascii="仿宋_GB2312" w:hAnsi="仿宋_GB2312" w:eastAsia="仿宋_GB2312" w:cs="仿宋_GB2312"/>
                <w:sz w:val="28"/>
                <w:szCs w:val="28"/>
              </w:rPr>
              <w:t>建设黎伍大桥、船埠水坝桥、文曲新桥、山荫渡口桥、东太农场到南俸大桥、官塘至官台大桥、丹村至椰子寨大桥、东太至南俸万泉河大桥等8座桥；对我市农村公路上存量的四、五类桥梁进行全面改造。</w:t>
            </w:r>
          </w:p>
          <w:p>
            <w:pPr>
              <w:widowControl w:val="0"/>
              <w:spacing w:line="520" w:lineRule="exact"/>
              <w:ind w:firstLine="562" w:firstLineChars="200"/>
              <w:rPr>
                <w:rFonts w:ascii="楷体_GB2312" w:hAnsi="楷体_GB2312" w:eastAsia="楷体_GB2312" w:cs="楷体_GB2312"/>
                <w:b/>
                <w:sz w:val="28"/>
                <w:szCs w:val="28"/>
              </w:rPr>
            </w:pPr>
            <w:r>
              <w:rPr>
                <w:rFonts w:hint="eastAsia" w:ascii="楷体_GB2312" w:hAnsi="楷体_GB2312" w:eastAsia="楷体_GB2312" w:cs="楷体_GB2312"/>
                <w:b/>
                <w:sz w:val="28"/>
                <w:szCs w:val="28"/>
              </w:rPr>
              <w:t>13</w:t>
            </w:r>
            <w:r>
              <w:rPr>
                <w:rFonts w:ascii="楷体_GB2312" w:hAnsi="楷体_GB2312" w:eastAsia="楷体_GB2312" w:cs="楷体_GB2312"/>
                <w:b/>
                <w:sz w:val="28"/>
                <w:szCs w:val="28"/>
              </w:rPr>
              <w:t>.宝海东路</w:t>
            </w:r>
          </w:p>
          <w:p>
            <w:pPr>
              <w:widowControl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在富海片区建设一条1.709公里、双向四车道的城市次干路。</w:t>
            </w:r>
          </w:p>
          <w:p>
            <w:pPr>
              <w:widowControl w:val="0"/>
              <w:spacing w:line="520" w:lineRule="exact"/>
              <w:ind w:firstLine="562" w:firstLineChars="200"/>
              <w:rPr>
                <w:rFonts w:ascii="楷体_GB2312" w:hAnsi="楷体_GB2312" w:eastAsia="楷体_GB2312" w:cs="楷体_GB2312"/>
                <w:b/>
                <w:sz w:val="28"/>
                <w:szCs w:val="28"/>
              </w:rPr>
            </w:pPr>
            <w:r>
              <w:rPr>
                <w:rFonts w:hint="eastAsia" w:ascii="楷体_GB2312" w:hAnsi="楷体_GB2312" w:eastAsia="楷体_GB2312" w:cs="楷体_GB2312"/>
                <w:b/>
                <w:sz w:val="28"/>
                <w:szCs w:val="28"/>
              </w:rPr>
              <w:t>14</w:t>
            </w:r>
            <w:r>
              <w:rPr>
                <w:rFonts w:ascii="楷体_GB2312" w:hAnsi="楷体_GB2312" w:eastAsia="楷体_GB2312" w:cs="楷体_GB2312"/>
                <w:b/>
                <w:sz w:val="28"/>
                <w:szCs w:val="28"/>
              </w:rPr>
              <w:t>. 北外环路延长线</w:t>
            </w:r>
          </w:p>
          <w:p>
            <w:pPr>
              <w:widowControl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建设一条起点为北外环联先出口处，终点为海文高速（G9812）。绕着龙寿洋接上海文高速的双向6车道道路，全长约7公里。</w:t>
            </w:r>
          </w:p>
          <w:p>
            <w:pPr>
              <w:widowControl w:val="0"/>
              <w:spacing w:line="520" w:lineRule="exact"/>
              <w:ind w:firstLine="562" w:firstLineChars="200"/>
              <w:rPr>
                <w:rFonts w:ascii="楷体_GB2312" w:hAnsi="楷体_GB2312" w:eastAsia="楷体_GB2312" w:cs="楷体_GB2312"/>
                <w:b/>
                <w:sz w:val="28"/>
                <w:szCs w:val="28"/>
              </w:rPr>
            </w:pPr>
            <w:r>
              <w:rPr>
                <w:rFonts w:hint="eastAsia" w:ascii="楷体_GB2312" w:hAnsi="楷体_GB2312" w:eastAsia="楷体_GB2312" w:cs="楷体_GB2312"/>
                <w:b/>
                <w:sz w:val="28"/>
                <w:szCs w:val="28"/>
              </w:rPr>
              <w:t>15</w:t>
            </w:r>
            <w:r>
              <w:rPr>
                <w:rFonts w:ascii="楷体_GB2312" w:hAnsi="楷体_GB2312" w:eastAsia="楷体_GB2312" w:cs="楷体_GB2312"/>
                <w:b/>
                <w:sz w:val="28"/>
                <w:szCs w:val="28"/>
              </w:rPr>
              <w:t>.嘉积城区至博鳌地区快速通道</w:t>
            </w:r>
          </w:p>
          <w:p>
            <w:pPr>
              <w:widowControl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建设起点为康庄路末端（大甲坡村附近），终点为朝阳墟的双向6车道道路，全长约8公里。</w:t>
            </w:r>
          </w:p>
          <w:p>
            <w:pPr>
              <w:spacing w:line="520" w:lineRule="exact"/>
              <w:ind w:firstLine="562" w:firstLineChars="200"/>
              <w:rPr>
                <w:rFonts w:ascii="楷体_GB2312" w:hAnsi="楷体_GB2312" w:eastAsia="楷体_GB2312" w:cs="楷体_GB2312"/>
                <w:b/>
                <w:sz w:val="28"/>
                <w:szCs w:val="28"/>
              </w:rPr>
            </w:pPr>
            <w:r>
              <w:rPr>
                <w:rFonts w:ascii="楷体_GB2312" w:hAnsi="楷体_GB2312" w:eastAsia="楷体_GB2312" w:cs="楷体_GB2312"/>
                <w:b/>
                <w:sz w:val="28"/>
                <w:szCs w:val="28"/>
              </w:rPr>
              <w:t>16.</w:t>
            </w:r>
            <w:r>
              <w:rPr>
                <w:rFonts w:hint="eastAsia" w:ascii="楷体_GB2312" w:hAnsi="楷体_GB2312" w:eastAsia="楷体_GB2312" w:cs="楷体_GB2312"/>
                <w:b/>
                <w:sz w:val="28"/>
                <w:szCs w:val="28"/>
              </w:rPr>
              <w:t>综合客运枢纽工程</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选址高铁琼海站附近，建设道路客运和高铁换乘的综合客运枢纽，实现运输方式的无缝衔接。</w:t>
            </w:r>
          </w:p>
          <w:p>
            <w:pPr>
              <w:pStyle w:val="2"/>
              <w:ind w:firstLine="562"/>
              <w:rPr>
                <w:rFonts w:ascii="楷体_GB2312" w:hAnsi="楷体_GB2312" w:eastAsia="楷体_GB2312" w:cs="楷体_GB2312"/>
                <w:b/>
                <w:color w:val="auto"/>
                <w:sz w:val="28"/>
                <w:szCs w:val="28"/>
              </w:rPr>
            </w:pPr>
            <w:r>
              <w:rPr>
                <w:rFonts w:ascii="楷体_GB2312" w:hAnsi="楷体_GB2312" w:eastAsia="楷体_GB2312" w:cs="楷体_GB2312"/>
                <w:b/>
                <w:color w:val="auto"/>
                <w:kern w:val="0"/>
                <w:sz w:val="28"/>
                <w:szCs w:val="28"/>
              </w:rPr>
              <w:t>17.S213（</w:t>
            </w:r>
            <w:r>
              <w:rPr>
                <w:rFonts w:hint="eastAsia" w:ascii="楷体_GB2312" w:hAnsi="楷体_GB2312" w:eastAsia="楷体_GB2312" w:cs="楷体_GB2312"/>
                <w:b/>
                <w:color w:val="auto"/>
                <w:kern w:val="0"/>
                <w:sz w:val="28"/>
                <w:szCs w:val="28"/>
              </w:rPr>
              <w:t>嘉博线）改建工程</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在原线上对S213（嘉博线）21.922公里场的道路进行升级改建，缓解嘉博线车流量多，交通压力大的问题。</w:t>
            </w:r>
          </w:p>
          <w:p>
            <w:pPr>
              <w:spacing w:line="520" w:lineRule="exact"/>
              <w:ind w:firstLine="562" w:firstLineChars="200"/>
              <w:rPr>
                <w:rFonts w:ascii="楷体_GB2312" w:hAnsi="楷体_GB2312" w:eastAsia="楷体_GB2312" w:cs="楷体_GB2312"/>
                <w:b/>
                <w:sz w:val="28"/>
                <w:szCs w:val="28"/>
              </w:rPr>
            </w:pPr>
            <w:r>
              <w:rPr>
                <w:rFonts w:ascii="楷体_GB2312" w:hAnsi="楷体_GB2312" w:eastAsia="楷体_GB2312" w:cs="楷体_GB2312"/>
                <w:b/>
                <w:sz w:val="28"/>
                <w:szCs w:val="28"/>
              </w:rPr>
              <w:t>18.G9812</w:t>
            </w:r>
            <w:r>
              <w:rPr>
                <w:rFonts w:hint="eastAsia" w:ascii="楷体_GB2312" w:hAnsi="楷体_GB2312" w:eastAsia="楷体_GB2312" w:cs="楷体_GB2312"/>
                <w:b/>
                <w:sz w:val="28"/>
                <w:szCs w:val="28"/>
              </w:rPr>
              <w:t>嘉积互通改造工程</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在原址上对嘉积互通进行扩容，优化G9812嘉积互通出入口通车能力，解决嘉积互通路口拥堵问题和存在的安全隐患。</w:t>
            </w:r>
          </w:p>
          <w:p>
            <w:pPr>
              <w:spacing w:line="520" w:lineRule="exact"/>
              <w:ind w:firstLine="562" w:firstLineChars="200"/>
              <w:rPr>
                <w:rFonts w:ascii="楷体_GB2312" w:hAnsi="楷体_GB2312" w:eastAsia="楷体_GB2312" w:cs="楷体_GB2312"/>
                <w:b/>
                <w:sz w:val="28"/>
                <w:szCs w:val="28"/>
              </w:rPr>
            </w:pPr>
            <w:r>
              <w:rPr>
                <w:rFonts w:ascii="楷体_GB2312" w:hAnsi="楷体_GB2312" w:eastAsia="楷体_GB2312" w:cs="楷体_GB2312"/>
                <w:b/>
                <w:sz w:val="28"/>
                <w:szCs w:val="28"/>
              </w:rPr>
              <w:t>19.</w:t>
            </w:r>
            <w:r>
              <w:rPr>
                <w:rFonts w:hint="eastAsia" w:ascii="楷体_GB2312" w:hAnsi="楷体_GB2312" w:eastAsia="楷体_GB2312" w:cs="楷体_GB2312"/>
                <w:b/>
                <w:sz w:val="28"/>
                <w:szCs w:val="28"/>
              </w:rPr>
              <w:t>行政村通双车道公路工程</w:t>
            </w:r>
          </w:p>
          <w:p>
            <w:pPr>
              <w:pStyle w:val="2"/>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推进农村公路提档升级，对路面宽度未达到6.5米的通行政村道路全部进行升级改造。</w:t>
            </w:r>
          </w:p>
          <w:p>
            <w:pPr>
              <w:pStyle w:val="2"/>
              <w:ind w:firstLine="562"/>
              <w:rPr>
                <w:rFonts w:ascii="楷体_GB2312" w:hAnsi="楷体_GB2312" w:eastAsia="楷体_GB2312" w:cs="楷体_GB2312"/>
                <w:b/>
                <w:color w:val="auto"/>
                <w:sz w:val="28"/>
                <w:szCs w:val="28"/>
              </w:rPr>
            </w:pPr>
            <w:r>
              <w:rPr>
                <w:rFonts w:ascii="楷体_GB2312" w:hAnsi="楷体_GB2312" w:eastAsia="楷体_GB2312" w:cs="楷体_GB2312"/>
                <w:b/>
                <w:color w:val="auto"/>
                <w:kern w:val="0"/>
                <w:sz w:val="28"/>
                <w:szCs w:val="28"/>
              </w:rPr>
              <w:t>20. 农村公路安全防护工程</w:t>
            </w:r>
          </w:p>
          <w:p>
            <w:pPr>
              <w:pStyle w:val="2"/>
              <w:ind w:firstLine="560"/>
              <w:rPr>
                <w:rFonts w:ascii="仿宋" w:hAnsi="仿宋" w:eastAsia="仿宋" w:cs="仿宋"/>
                <w:color w:val="auto"/>
                <w:sz w:val="28"/>
                <w:szCs w:val="28"/>
              </w:rPr>
            </w:pPr>
            <w:r>
              <w:rPr>
                <w:rFonts w:hint="eastAsia" w:ascii="仿宋_GB2312" w:hAnsi="仿宋_GB2312" w:eastAsia="仿宋_GB2312" w:cs="仿宋_GB2312"/>
                <w:color w:val="auto"/>
                <w:kern w:val="0"/>
                <w:sz w:val="28"/>
                <w:szCs w:val="28"/>
              </w:rPr>
              <w:t>开展农村公路安全防护工程，对全市存在安全隐患的农村公路安全防护设施进行完善提升。</w:t>
            </w:r>
          </w:p>
        </w:tc>
      </w:tr>
    </w:tbl>
    <w:p>
      <w:pPr>
        <w:pStyle w:val="9"/>
        <w:widowControl w:val="0"/>
        <w:snapToGrid w:val="0"/>
        <w:spacing w:line="640" w:lineRule="exact"/>
        <w:outlineLvl w:val="1"/>
        <w:rPr>
          <w:rFonts w:ascii="楷体" w:hAnsi="楷体" w:eastAsia="楷体"/>
        </w:rPr>
      </w:pPr>
      <w:bookmarkStart w:id="423" w:name="_Toc26668"/>
      <w:bookmarkStart w:id="424" w:name="_Toc2748"/>
      <w:bookmarkStart w:id="425" w:name="_Toc24737"/>
      <w:bookmarkStart w:id="426" w:name="_Toc56346963"/>
      <w:bookmarkStart w:id="427" w:name="_Toc28484"/>
      <w:bookmarkStart w:id="428" w:name="_Toc12726"/>
      <w:bookmarkStart w:id="429" w:name="_Toc1170"/>
      <w:bookmarkStart w:id="430" w:name="_Toc28"/>
      <w:bookmarkStart w:id="431" w:name="_Toc24087"/>
      <w:bookmarkStart w:id="432" w:name="_Toc19141"/>
      <w:bookmarkStart w:id="433" w:name="_Toc31164"/>
    </w:p>
    <w:p>
      <w:pPr>
        <w:pStyle w:val="9"/>
        <w:widowControl w:val="0"/>
        <w:snapToGrid w:val="0"/>
        <w:spacing w:line="640" w:lineRule="exact"/>
        <w:outlineLvl w:val="1"/>
        <w:rPr>
          <w:rFonts w:ascii="楷体" w:hAnsi="楷体" w:eastAsia="楷体"/>
        </w:rPr>
      </w:pPr>
      <w:r>
        <w:rPr>
          <w:rFonts w:hint="eastAsia" w:ascii="楷体" w:hAnsi="楷体" w:eastAsia="楷体"/>
        </w:rPr>
        <w:t>第二节</w:t>
      </w:r>
      <w:r>
        <w:rPr>
          <w:rFonts w:ascii="楷体" w:hAnsi="楷体" w:eastAsia="楷体"/>
        </w:rPr>
        <w:t xml:space="preserve">  </w:t>
      </w:r>
      <w:bookmarkEnd w:id="423"/>
      <w:bookmarkEnd w:id="424"/>
      <w:bookmarkEnd w:id="425"/>
      <w:bookmarkEnd w:id="426"/>
      <w:bookmarkEnd w:id="427"/>
      <w:bookmarkEnd w:id="428"/>
      <w:bookmarkEnd w:id="429"/>
      <w:bookmarkEnd w:id="430"/>
      <w:bookmarkEnd w:id="431"/>
      <w:bookmarkEnd w:id="432"/>
      <w:bookmarkEnd w:id="433"/>
      <w:r>
        <w:rPr>
          <w:rFonts w:hint="eastAsia" w:ascii="楷体" w:hAnsi="楷体" w:eastAsia="楷体"/>
        </w:rPr>
        <w:t>构建功能完善的城市水网</w:t>
      </w:r>
    </w:p>
    <w:p>
      <w:pPr>
        <w:pStyle w:val="15"/>
        <w:widowControl w:val="0"/>
        <w:snapToGrid w:val="0"/>
        <w:spacing w:line="6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海南海岛型水网琼东区水网工程。以万泉河左源的红岭水库为骨干水源，建设连接红岭灌区工程的分支渠系，引水至琼海北部大路、塔洋地区，提升琼海北部地区供水、灌溉保障能力；以万泉河右源的牛路岭水库为骨干水源，建设连接琼海中小型水库的输水工程。推进西南片区自来水厂、灌溉渠道建设工程和供水管网改造提升工程，提升供水、灌溉保障能力。将城市饮用水取水口向万泉河发源地附近迁移，有效改善生态环境，着力提升嘉积城区供水质量，到2025年城镇集中式饮用水水源水质达标率持续保持在100%。坚持补水库管理短板、补农业用水管理短板、补城市供排水短板和补河湖管理短板，进一步完善水库管理的信息化、标准化。推进用水定额制和农业水费收缴试点改革，建立供排水管网信息化平台，全面推动河长制工作见实效。</w:t>
      </w:r>
    </w:p>
    <w:tbl>
      <w:tblPr>
        <w:tblStyle w:val="1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288" w:type="dxa"/>
          </w:tcPr>
          <w:p>
            <w:pPr>
              <w:widowControl w:val="0"/>
              <w:spacing w:line="460" w:lineRule="exact"/>
              <w:jc w:val="center"/>
              <w:rPr>
                <w:rFonts w:ascii="Times New Roman" w:hAnsi="Times New Roman" w:eastAsia="黑体"/>
                <w:b/>
                <w:sz w:val="28"/>
                <w:szCs w:val="28"/>
              </w:rPr>
            </w:pPr>
            <w:r>
              <w:rPr>
                <w:rFonts w:hint="eastAsia" w:ascii="黑体" w:hAnsi="黑体" w:eastAsia="黑体"/>
                <w:b/>
                <w:sz w:val="28"/>
                <w:szCs w:val="28"/>
              </w:rPr>
              <w:t>专栏</w:t>
            </w:r>
            <w:r>
              <w:rPr>
                <w:rFonts w:ascii="黑体" w:hAnsi="黑体" w:eastAsia="黑体"/>
                <w:b/>
                <w:sz w:val="28"/>
                <w:szCs w:val="28"/>
              </w:rPr>
              <w:t>1</w:t>
            </w:r>
            <w:r>
              <w:rPr>
                <w:rFonts w:hint="eastAsia" w:ascii="黑体" w:hAnsi="黑体" w:eastAsia="黑体"/>
                <w:b/>
                <w:sz w:val="28"/>
                <w:szCs w:val="28"/>
              </w:rPr>
              <w:t>6</w:t>
            </w:r>
            <w:r>
              <w:rPr>
                <w:rFonts w:ascii="黑体" w:hAnsi="黑体" w:eastAsia="黑体"/>
                <w:b/>
                <w:sz w:val="28"/>
                <w:szCs w:val="28"/>
              </w:rPr>
              <w:t>：“十四五”时期琼海市“水网”规划建设重点工程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8" w:type="dxa"/>
          </w:tcPr>
          <w:p>
            <w:pPr>
              <w:widowControl w:val="0"/>
              <w:spacing w:line="52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01.</w:t>
            </w:r>
            <w:r>
              <w:rPr>
                <w:rFonts w:hint="eastAsia" w:ascii="楷体_GB2312" w:hAnsi="楷体_GB2312" w:eastAsia="楷体_GB2312" w:cs="楷体_GB2312"/>
                <w:b/>
                <w:sz w:val="28"/>
                <w:szCs w:val="28"/>
              </w:rPr>
              <w:t>海南省牛路岭水库水资源配置工程</w:t>
            </w:r>
          </w:p>
          <w:p>
            <w:pPr>
              <w:widowControl w:val="0"/>
              <w:spacing w:line="520" w:lineRule="exact"/>
              <w:ind w:firstLine="540" w:firstLineChars="193"/>
              <w:rPr>
                <w:rFonts w:ascii="仿宋" w:hAnsi="仿宋" w:eastAsia="仿宋" w:cs="仿宋"/>
                <w:sz w:val="28"/>
                <w:szCs w:val="28"/>
              </w:rPr>
            </w:pPr>
            <w:r>
              <w:rPr>
                <w:rFonts w:hint="eastAsia" w:ascii="仿宋_GB2312" w:hAnsi="仿宋_GB2312" w:eastAsia="仿宋_GB2312" w:cs="仿宋_GB2312"/>
                <w:sz w:val="28"/>
                <w:szCs w:val="28"/>
              </w:rPr>
              <w:t>建设牛路岭水库至中平仔水库引水工程，长7.9km，同时通过中平仔干渠输水至阳江镇南部水厂，线路长14公里。</w:t>
            </w:r>
            <w:r>
              <w:rPr>
                <w:rFonts w:ascii="仿宋" w:hAnsi="仿宋" w:eastAsia="仿宋" w:cs="仿宋"/>
                <w:sz w:val="28"/>
                <w:szCs w:val="28"/>
              </w:rPr>
              <w:t xml:space="preserve">                 </w:t>
            </w:r>
          </w:p>
          <w:p>
            <w:pPr>
              <w:widowControl w:val="0"/>
              <w:spacing w:line="54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02.</w:t>
            </w:r>
            <w:r>
              <w:rPr>
                <w:rFonts w:hint="eastAsia" w:ascii="楷体_GB2312" w:hAnsi="楷体_GB2312" w:eastAsia="楷体_GB2312" w:cs="楷体_GB2312"/>
                <w:b/>
                <w:sz w:val="28"/>
                <w:szCs w:val="28"/>
              </w:rPr>
              <w:t>农村饮水安全巩固提升工程</w:t>
            </w:r>
          </w:p>
          <w:p>
            <w:pPr>
              <w:widowControl w:val="0"/>
              <w:spacing w:line="540" w:lineRule="exact"/>
              <w:ind w:firstLine="540" w:firstLineChars="193"/>
              <w:rPr>
                <w:rFonts w:ascii="仿宋_GB2312" w:hAnsi="仿宋_GB2312" w:eastAsia="仿宋_GB2312" w:cs="仿宋_GB2312"/>
                <w:sz w:val="28"/>
                <w:szCs w:val="28"/>
              </w:rPr>
            </w:pPr>
            <w:r>
              <w:rPr>
                <w:rFonts w:hint="eastAsia" w:ascii="仿宋_GB2312" w:hAnsi="仿宋_GB2312" w:eastAsia="仿宋_GB2312" w:cs="仿宋_GB2312"/>
                <w:sz w:val="28"/>
                <w:szCs w:val="28"/>
              </w:rPr>
              <w:t>新建农村饮水安全巩固提升工程50处。</w:t>
            </w:r>
          </w:p>
          <w:p>
            <w:pPr>
              <w:widowControl w:val="0"/>
              <w:spacing w:line="54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03.</w:t>
            </w:r>
            <w:r>
              <w:rPr>
                <w:rFonts w:hint="eastAsia" w:ascii="楷体_GB2312" w:hAnsi="楷体_GB2312" w:eastAsia="楷体_GB2312" w:cs="楷体_GB2312"/>
                <w:b/>
                <w:sz w:val="28"/>
                <w:szCs w:val="28"/>
              </w:rPr>
              <w:t>南部水厂及配套配水管网设施工程</w:t>
            </w:r>
          </w:p>
          <w:p>
            <w:pPr>
              <w:widowControl w:val="0"/>
              <w:spacing w:line="540" w:lineRule="exact"/>
              <w:ind w:firstLine="540" w:firstLineChars="193"/>
              <w:rPr>
                <w:rFonts w:ascii="仿宋_GB2312" w:hAnsi="仿宋_GB2312" w:eastAsia="仿宋_GB2312" w:cs="仿宋_GB2312"/>
                <w:sz w:val="28"/>
                <w:szCs w:val="28"/>
              </w:rPr>
            </w:pPr>
            <w:r>
              <w:rPr>
                <w:rFonts w:hint="eastAsia" w:ascii="仿宋_GB2312" w:hAnsi="仿宋_GB2312" w:eastAsia="仿宋_GB2312" w:cs="仿宋_GB2312"/>
                <w:sz w:val="28"/>
                <w:szCs w:val="28"/>
              </w:rPr>
              <w:t>建设一座20万m³/d、加压站4座的水厂，同时配套配水管网619km。</w:t>
            </w:r>
          </w:p>
          <w:p>
            <w:pPr>
              <w:widowControl w:val="0"/>
              <w:spacing w:line="54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04.</w:t>
            </w:r>
            <w:r>
              <w:rPr>
                <w:rFonts w:hint="eastAsia" w:ascii="楷体_GB2312" w:hAnsi="楷体_GB2312" w:eastAsia="楷体_GB2312" w:cs="楷体_GB2312"/>
                <w:b/>
                <w:sz w:val="28"/>
                <w:szCs w:val="28"/>
              </w:rPr>
              <w:t>琼海市美容自来水厂扩建三期工程</w:t>
            </w:r>
          </w:p>
          <w:p>
            <w:pPr>
              <w:widowControl w:val="0"/>
              <w:spacing w:line="540" w:lineRule="exact"/>
              <w:ind w:firstLine="540" w:firstLineChars="193"/>
              <w:rPr>
                <w:rFonts w:ascii="仿宋_GB2312" w:hAnsi="仿宋_GB2312" w:eastAsia="仿宋_GB2312" w:cs="仿宋_GB2312"/>
                <w:b/>
                <w:sz w:val="28"/>
                <w:szCs w:val="28"/>
              </w:rPr>
            </w:pPr>
            <w:r>
              <w:rPr>
                <w:rFonts w:hint="eastAsia" w:ascii="仿宋_GB2312" w:hAnsi="仿宋_GB2312" w:eastAsia="仿宋_GB2312" w:cs="仿宋_GB2312"/>
                <w:sz w:val="28"/>
                <w:szCs w:val="28"/>
              </w:rPr>
              <w:t>扩建美容水厂供水规模50000 m3/d，主要包括厂区扩建和配套管网工程10km。</w:t>
            </w:r>
          </w:p>
          <w:p>
            <w:pPr>
              <w:widowControl w:val="0"/>
              <w:spacing w:line="54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05.</w:t>
            </w:r>
            <w:r>
              <w:rPr>
                <w:rFonts w:hint="eastAsia" w:ascii="楷体_GB2312" w:hAnsi="楷体_GB2312" w:eastAsia="楷体_GB2312" w:cs="楷体_GB2312"/>
                <w:b/>
                <w:sz w:val="28"/>
                <w:szCs w:val="28"/>
              </w:rPr>
              <w:t>老旧管网改造工程</w:t>
            </w:r>
          </w:p>
          <w:p>
            <w:pPr>
              <w:widowControl w:val="0"/>
              <w:spacing w:line="540" w:lineRule="exact"/>
              <w:ind w:firstLine="540" w:firstLineChars="193"/>
              <w:rPr>
                <w:rFonts w:ascii="仿宋_GB2312" w:hAnsi="仿宋_GB2312" w:eastAsia="仿宋_GB2312" w:cs="仿宋_GB2312"/>
                <w:sz w:val="28"/>
                <w:szCs w:val="28"/>
              </w:rPr>
            </w:pPr>
            <w:r>
              <w:rPr>
                <w:rFonts w:hint="eastAsia" w:ascii="仿宋_GB2312" w:hAnsi="仿宋_GB2312" w:eastAsia="仿宋_GB2312" w:cs="仿宋_GB2312"/>
                <w:sz w:val="28"/>
                <w:szCs w:val="28"/>
              </w:rPr>
              <w:t>改造老旧管网设施工程27处，改造管网长度25km,改造老旧供水设施85处。</w:t>
            </w:r>
          </w:p>
          <w:p>
            <w:pPr>
              <w:widowControl w:val="0"/>
              <w:spacing w:line="54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06.</w:t>
            </w:r>
            <w:r>
              <w:rPr>
                <w:rFonts w:hint="eastAsia" w:ascii="楷体_GB2312" w:hAnsi="楷体_GB2312" w:eastAsia="楷体_GB2312" w:cs="楷体_GB2312"/>
                <w:b/>
                <w:sz w:val="28"/>
                <w:szCs w:val="28"/>
              </w:rPr>
              <w:t>琼海市自来水厂设备工程项目</w:t>
            </w:r>
          </w:p>
          <w:p>
            <w:pPr>
              <w:widowControl w:val="0"/>
              <w:spacing w:line="540" w:lineRule="exact"/>
              <w:ind w:firstLine="486" w:firstLineChars="193"/>
              <w:rPr>
                <w:rFonts w:ascii="仿宋_GB2312" w:hAnsi="仿宋_GB2312" w:eastAsia="仿宋_GB2312" w:cs="仿宋_GB2312"/>
                <w:w w:val="90"/>
                <w:sz w:val="28"/>
                <w:szCs w:val="28"/>
              </w:rPr>
            </w:pPr>
            <w:r>
              <w:rPr>
                <w:rFonts w:hint="eastAsia" w:ascii="仿宋_GB2312" w:hAnsi="仿宋_GB2312" w:eastAsia="仿宋_GB2312" w:cs="仿宋_GB2312"/>
                <w:w w:val="90"/>
                <w:sz w:val="28"/>
                <w:szCs w:val="28"/>
              </w:rPr>
              <w:t>新建朝标水厂2万吨处理工艺和污泥处理系统，新建博鳌加压泵站一座。</w:t>
            </w:r>
          </w:p>
          <w:p>
            <w:pPr>
              <w:widowControl w:val="0"/>
              <w:spacing w:line="540" w:lineRule="exact"/>
              <w:ind w:firstLine="548" w:firstLineChars="195"/>
              <w:rPr>
                <w:rFonts w:ascii="楷体_GB2312" w:hAnsi="楷体_GB2312" w:eastAsia="楷体_GB2312" w:cs="楷体_GB2312"/>
                <w:b/>
                <w:sz w:val="28"/>
                <w:szCs w:val="28"/>
              </w:rPr>
            </w:pPr>
            <w:r>
              <w:rPr>
                <w:rFonts w:ascii="楷体_GB2312" w:hAnsi="楷体_GB2312" w:eastAsia="楷体_GB2312" w:cs="楷体_GB2312"/>
                <w:b/>
                <w:sz w:val="28"/>
                <w:szCs w:val="28"/>
              </w:rPr>
              <w:t>07.</w:t>
            </w:r>
            <w:r>
              <w:rPr>
                <w:rFonts w:hint="eastAsia" w:ascii="楷体_GB2312" w:hAnsi="楷体_GB2312" w:eastAsia="楷体_GB2312" w:cs="楷体_GB2312"/>
                <w:b/>
                <w:sz w:val="28"/>
                <w:szCs w:val="28"/>
              </w:rPr>
              <w:t>琼海市自来水厂配水管网工程</w:t>
            </w:r>
          </w:p>
          <w:p>
            <w:pPr>
              <w:widowControl w:val="0"/>
              <w:spacing w:line="540" w:lineRule="exact"/>
              <w:ind w:firstLine="540" w:firstLineChars="193"/>
              <w:rPr>
                <w:rFonts w:ascii="仿宋_GB2312" w:hAnsi="仿宋_GB2312" w:eastAsia="仿宋_GB2312" w:cs="仿宋_GB2312"/>
                <w:b/>
                <w:sz w:val="28"/>
                <w:szCs w:val="28"/>
              </w:rPr>
            </w:pPr>
            <w:r>
              <w:rPr>
                <w:rFonts w:hint="eastAsia" w:ascii="仿宋_GB2312" w:hAnsi="仿宋_GB2312" w:eastAsia="仿宋_GB2312" w:cs="仿宋_GB2312"/>
                <w:sz w:val="28"/>
                <w:szCs w:val="28"/>
              </w:rPr>
              <w:t>改造嘉积镇北门市场至上埇段DN600玻璃钢管道8km，新建博鳌镇至龙湾港配水管网15km。</w:t>
            </w:r>
          </w:p>
          <w:p>
            <w:pPr>
              <w:widowControl w:val="0"/>
              <w:spacing w:line="54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08.</w:t>
            </w:r>
            <w:r>
              <w:rPr>
                <w:rFonts w:hint="eastAsia" w:ascii="楷体_GB2312" w:hAnsi="楷体_GB2312" w:eastAsia="楷体_GB2312" w:cs="楷体_GB2312"/>
                <w:b/>
                <w:sz w:val="28"/>
                <w:szCs w:val="28"/>
              </w:rPr>
              <w:t>南塘总干渠节水改造配套工程</w:t>
            </w:r>
          </w:p>
          <w:p>
            <w:pPr>
              <w:widowControl w:val="0"/>
              <w:spacing w:line="540" w:lineRule="exact"/>
              <w:ind w:firstLine="540" w:firstLineChars="193"/>
              <w:rPr>
                <w:rFonts w:ascii="仿宋_GB2312" w:hAnsi="仿宋_GB2312" w:eastAsia="仿宋_GB2312" w:cs="仿宋_GB2312"/>
                <w:sz w:val="28"/>
                <w:szCs w:val="28"/>
              </w:rPr>
            </w:pPr>
            <w:r>
              <w:rPr>
                <w:rFonts w:hint="eastAsia" w:ascii="仿宋_GB2312" w:hAnsi="仿宋_GB2312" w:eastAsia="仿宋_GB2312" w:cs="仿宋_GB2312"/>
                <w:sz w:val="28"/>
                <w:szCs w:val="28"/>
              </w:rPr>
              <w:t>对南塘总干渠进行升级改造。</w:t>
            </w:r>
          </w:p>
          <w:p>
            <w:pPr>
              <w:widowControl w:val="0"/>
              <w:spacing w:line="540" w:lineRule="exact"/>
              <w:ind w:firstLine="548" w:firstLineChars="195"/>
              <w:rPr>
                <w:rFonts w:ascii="楷体_GB2312" w:hAnsi="楷体_GB2312" w:eastAsia="楷体_GB2312" w:cs="楷体_GB2312"/>
                <w:b/>
                <w:sz w:val="28"/>
                <w:szCs w:val="28"/>
              </w:rPr>
            </w:pPr>
            <w:r>
              <w:rPr>
                <w:rFonts w:ascii="楷体_GB2312" w:hAnsi="楷体_GB2312" w:eastAsia="楷体_GB2312" w:cs="楷体_GB2312"/>
                <w:b/>
                <w:sz w:val="28"/>
                <w:szCs w:val="28"/>
              </w:rPr>
              <w:t>09.</w:t>
            </w:r>
            <w:r>
              <w:rPr>
                <w:rFonts w:hint="eastAsia" w:ascii="楷体_GB2312" w:hAnsi="楷体_GB2312" w:eastAsia="楷体_GB2312" w:cs="楷体_GB2312"/>
                <w:b/>
                <w:sz w:val="28"/>
                <w:szCs w:val="28"/>
              </w:rPr>
              <w:t>中型灌区续建配套与节水改造工程</w:t>
            </w:r>
          </w:p>
          <w:p>
            <w:pPr>
              <w:widowControl w:val="0"/>
              <w:spacing w:line="540" w:lineRule="exact"/>
              <w:ind w:firstLine="546" w:firstLineChars="195"/>
              <w:rPr>
                <w:rFonts w:ascii="仿宋_GB2312" w:hAnsi="仿宋_GB2312" w:eastAsia="仿宋_GB2312" w:cs="仿宋_GB2312"/>
                <w:sz w:val="28"/>
                <w:szCs w:val="28"/>
              </w:rPr>
            </w:pPr>
            <w:r>
              <w:rPr>
                <w:rFonts w:hint="eastAsia" w:ascii="仿宋_GB2312" w:hAnsi="仿宋_GB2312" w:eastAsia="仿宋_GB2312" w:cs="仿宋_GB2312"/>
                <w:sz w:val="28"/>
                <w:szCs w:val="28"/>
              </w:rPr>
              <w:t>对美容水库灌区、文岭水库灌区、合水水库灌区、石合水库灌区、南塘官墓水库灌区、塔洋水闸灌区、泮水水闸灌区、北岸水闸灌区等8个中型灌区进行续建改造，续改建渠道长度71.78km。</w:t>
            </w:r>
          </w:p>
          <w:p>
            <w:pPr>
              <w:widowControl w:val="0"/>
              <w:spacing w:line="540" w:lineRule="exact"/>
              <w:ind w:firstLine="548" w:firstLineChars="195"/>
              <w:rPr>
                <w:rFonts w:ascii="楷体_GB2312" w:hAnsi="楷体_GB2312" w:eastAsia="楷体_GB2312" w:cs="楷体_GB2312"/>
                <w:b/>
                <w:sz w:val="28"/>
                <w:szCs w:val="28"/>
              </w:rPr>
            </w:pPr>
            <w:r>
              <w:rPr>
                <w:rFonts w:ascii="楷体_GB2312" w:hAnsi="楷体_GB2312" w:eastAsia="楷体_GB2312" w:cs="楷体_GB2312"/>
                <w:b/>
                <w:sz w:val="28"/>
                <w:szCs w:val="28"/>
              </w:rPr>
              <w:t>10.</w:t>
            </w:r>
            <w:r>
              <w:rPr>
                <w:rFonts w:hint="eastAsia" w:ascii="楷体_GB2312" w:hAnsi="楷体_GB2312" w:eastAsia="楷体_GB2312" w:cs="楷体_GB2312"/>
                <w:b/>
                <w:sz w:val="28"/>
                <w:szCs w:val="28"/>
              </w:rPr>
              <w:t>中型水库除险加固工程</w:t>
            </w:r>
          </w:p>
          <w:p>
            <w:pPr>
              <w:widowControl w:val="0"/>
              <w:spacing w:line="540" w:lineRule="exact"/>
              <w:ind w:firstLine="546" w:firstLineChars="195"/>
              <w:rPr>
                <w:rFonts w:ascii="仿宋_GB2312" w:hAnsi="仿宋_GB2312" w:eastAsia="仿宋_GB2312" w:cs="仿宋_GB2312"/>
                <w:sz w:val="28"/>
                <w:szCs w:val="28"/>
              </w:rPr>
            </w:pPr>
            <w:r>
              <w:rPr>
                <w:rFonts w:hint="eastAsia" w:ascii="仿宋_GB2312" w:hAnsi="仿宋_GB2312" w:eastAsia="仿宋_GB2312" w:cs="仿宋_GB2312"/>
                <w:sz w:val="28"/>
                <w:szCs w:val="28"/>
              </w:rPr>
              <w:t>对合水、石合等2座中型水库安全鉴定存在问题进行除险加固。</w:t>
            </w:r>
          </w:p>
          <w:p>
            <w:pPr>
              <w:widowControl w:val="0"/>
              <w:spacing w:line="540" w:lineRule="exact"/>
              <w:ind w:firstLine="548" w:firstLineChars="195"/>
              <w:rPr>
                <w:rFonts w:ascii="楷体_GB2312" w:hAnsi="楷体_GB2312" w:eastAsia="楷体_GB2312" w:cs="楷体_GB2312"/>
                <w:b/>
                <w:sz w:val="28"/>
                <w:szCs w:val="28"/>
              </w:rPr>
            </w:pPr>
            <w:r>
              <w:rPr>
                <w:rFonts w:ascii="楷体_GB2312" w:hAnsi="楷体_GB2312" w:eastAsia="楷体_GB2312" w:cs="楷体_GB2312"/>
                <w:b/>
                <w:sz w:val="28"/>
                <w:szCs w:val="28"/>
              </w:rPr>
              <w:t>11.</w:t>
            </w:r>
            <w:r>
              <w:rPr>
                <w:rFonts w:hint="eastAsia" w:ascii="楷体_GB2312" w:hAnsi="楷体_GB2312" w:eastAsia="楷体_GB2312" w:cs="楷体_GB2312"/>
                <w:b/>
                <w:sz w:val="28"/>
                <w:szCs w:val="28"/>
              </w:rPr>
              <w:t>北岸水闸除险加固工程</w:t>
            </w:r>
          </w:p>
          <w:p>
            <w:pPr>
              <w:widowControl w:val="0"/>
              <w:spacing w:line="540" w:lineRule="exact"/>
              <w:ind w:firstLine="546" w:firstLineChars="195"/>
              <w:rPr>
                <w:rFonts w:ascii="仿宋_GB2312" w:hAnsi="仿宋_GB2312" w:eastAsia="仿宋_GB2312" w:cs="仿宋_GB2312"/>
                <w:sz w:val="28"/>
                <w:szCs w:val="28"/>
              </w:rPr>
            </w:pPr>
            <w:r>
              <w:rPr>
                <w:rFonts w:hint="eastAsia" w:ascii="仿宋_GB2312" w:hAnsi="仿宋_GB2312" w:eastAsia="仿宋_GB2312" w:cs="仿宋_GB2312"/>
                <w:sz w:val="28"/>
                <w:szCs w:val="28"/>
              </w:rPr>
              <w:t>对北岸水闸进行加固，包括新建闸室底板、中墩、工作桥、检修桥、砼弧形闸门、上游护坦等。</w:t>
            </w:r>
          </w:p>
          <w:p>
            <w:pPr>
              <w:widowControl w:val="0"/>
              <w:spacing w:line="540" w:lineRule="exact"/>
              <w:ind w:firstLine="548" w:firstLineChars="195"/>
              <w:rPr>
                <w:rFonts w:ascii="楷体_GB2312" w:hAnsi="楷体_GB2312" w:eastAsia="楷体_GB2312" w:cs="楷体_GB2312"/>
                <w:b/>
                <w:sz w:val="28"/>
                <w:szCs w:val="28"/>
              </w:rPr>
            </w:pPr>
            <w:r>
              <w:rPr>
                <w:rFonts w:ascii="楷体_GB2312" w:hAnsi="楷体_GB2312" w:eastAsia="楷体_GB2312" w:cs="楷体_GB2312"/>
                <w:b/>
                <w:sz w:val="28"/>
                <w:szCs w:val="28"/>
              </w:rPr>
              <w:t>12.</w:t>
            </w:r>
            <w:r>
              <w:rPr>
                <w:rFonts w:hint="eastAsia" w:ascii="楷体_GB2312" w:hAnsi="楷体_GB2312" w:eastAsia="楷体_GB2312" w:cs="楷体_GB2312"/>
                <w:b/>
                <w:sz w:val="28"/>
                <w:szCs w:val="28"/>
              </w:rPr>
              <w:t>大代边沟下游段综合治理工程</w:t>
            </w:r>
            <w:r>
              <w:rPr>
                <w:rFonts w:ascii="楷体_GB2312" w:hAnsi="楷体_GB2312" w:eastAsia="楷体_GB2312" w:cs="楷体_GB2312"/>
                <w:b/>
                <w:sz w:val="28"/>
                <w:szCs w:val="28"/>
              </w:rPr>
              <w:tab/>
            </w:r>
          </w:p>
          <w:p>
            <w:pPr>
              <w:widowControl w:val="0"/>
              <w:spacing w:line="540" w:lineRule="exact"/>
              <w:ind w:firstLine="546" w:firstLineChars="195"/>
              <w:rPr>
                <w:rFonts w:ascii="仿宋_GB2312" w:hAnsi="仿宋_GB2312" w:eastAsia="仿宋_GB2312" w:cs="仿宋_GB2312"/>
                <w:sz w:val="28"/>
                <w:szCs w:val="28"/>
              </w:rPr>
            </w:pPr>
            <w:r>
              <w:rPr>
                <w:rFonts w:hint="eastAsia" w:ascii="仿宋_GB2312" w:hAnsi="仿宋_GB2312" w:eastAsia="仿宋_GB2312" w:cs="仿宋_GB2312"/>
                <w:sz w:val="28"/>
                <w:szCs w:val="28"/>
              </w:rPr>
              <w:t>对大代边沟下游进行整治，长度6km。</w:t>
            </w:r>
          </w:p>
          <w:p>
            <w:pPr>
              <w:widowControl w:val="0"/>
              <w:spacing w:line="540" w:lineRule="exact"/>
              <w:ind w:firstLine="548" w:firstLineChars="195"/>
              <w:rPr>
                <w:rFonts w:ascii="楷体_GB2312" w:hAnsi="楷体_GB2312" w:eastAsia="楷体_GB2312" w:cs="楷体_GB2312"/>
                <w:b/>
                <w:sz w:val="28"/>
                <w:szCs w:val="28"/>
              </w:rPr>
            </w:pPr>
            <w:r>
              <w:rPr>
                <w:rFonts w:ascii="楷体_GB2312" w:hAnsi="楷体_GB2312" w:eastAsia="楷体_GB2312" w:cs="楷体_GB2312"/>
                <w:b/>
                <w:sz w:val="28"/>
                <w:szCs w:val="28"/>
              </w:rPr>
              <w:t>13.</w:t>
            </w:r>
            <w:r>
              <w:rPr>
                <w:rFonts w:hint="eastAsia" w:ascii="楷体_GB2312" w:hAnsi="楷体_GB2312" w:eastAsia="楷体_GB2312" w:cs="楷体_GB2312"/>
                <w:b/>
                <w:sz w:val="28"/>
                <w:szCs w:val="28"/>
              </w:rPr>
              <w:t>竹山溪中下游段综合治理工程</w:t>
            </w:r>
          </w:p>
          <w:p>
            <w:pPr>
              <w:widowControl w:val="0"/>
              <w:spacing w:line="540" w:lineRule="exact"/>
              <w:ind w:firstLine="546" w:firstLineChars="195"/>
              <w:rPr>
                <w:rFonts w:ascii="仿宋_GB2312" w:hAnsi="仿宋_GB2312" w:eastAsia="仿宋_GB2312" w:cs="仿宋_GB2312"/>
                <w:sz w:val="28"/>
                <w:szCs w:val="28"/>
              </w:rPr>
            </w:pPr>
            <w:r>
              <w:rPr>
                <w:rFonts w:hint="eastAsia" w:ascii="仿宋_GB2312" w:hAnsi="仿宋_GB2312" w:eastAsia="仿宋_GB2312" w:cs="仿宋_GB2312"/>
                <w:sz w:val="28"/>
                <w:szCs w:val="28"/>
              </w:rPr>
              <w:t>对竹山溪中下游段进行整治，长度8km。</w:t>
            </w:r>
          </w:p>
          <w:p>
            <w:pPr>
              <w:widowControl w:val="0"/>
              <w:spacing w:line="540" w:lineRule="exact"/>
              <w:ind w:firstLine="548" w:firstLineChars="195"/>
              <w:rPr>
                <w:rFonts w:ascii="楷体_GB2312" w:hAnsi="楷体_GB2312" w:eastAsia="楷体_GB2312" w:cs="楷体_GB2312"/>
                <w:b/>
                <w:color w:val="FF0000"/>
                <w:sz w:val="28"/>
                <w:szCs w:val="28"/>
              </w:rPr>
            </w:pPr>
            <w:r>
              <w:rPr>
                <w:rFonts w:ascii="楷体_GB2312" w:hAnsi="楷体_GB2312" w:eastAsia="楷体_GB2312" w:cs="楷体_GB2312"/>
                <w:b/>
                <w:color w:val="FF0000"/>
                <w:sz w:val="28"/>
                <w:szCs w:val="28"/>
              </w:rPr>
              <w:t>1</w:t>
            </w:r>
            <w:r>
              <w:rPr>
                <w:rFonts w:hint="eastAsia" w:ascii="楷体_GB2312" w:hAnsi="楷体_GB2312" w:eastAsia="楷体_GB2312" w:cs="楷体_GB2312"/>
                <w:b/>
                <w:color w:val="FF0000"/>
                <w:sz w:val="28"/>
                <w:szCs w:val="28"/>
              </w:rPr>
              <w:t>4</w:t>
            </w:r>
            <w:r>
              <w:rPr>
                <w:rFonts w:ascii="楷体_GB2312" w:hAnsi="楷体_GB2312" w:eastAsia="楷体_GB2312" w:cs="楷体_GB2312"/>
                <w:b/>
                <w:color w:val="FF0000"/>
                <w:sz w:val="28"/>
                <w:szCs w:val="28"/>
              </w:rPr>
              <w:t>.</w:t>
            </w:r>
            <w:r>
              <w:rPr>
                <w:rFonts w:hint="eastAsia" w:ascii="楷体_GB2312" w:hAnsi="楷体_GB2312" w:eastAsia="楷体_GB2312" w:cs="楷体_GB2312"/>
                <w:b/>
                <w:color w:val="FF0000"/>
                <w:sz w:val="28"/>
                <w:szCs w:val="28"/>
              </w:rPr>
              <w:t>博鳌乐城国际医疗旅游先行区防洪防潮排涝综合治理工程</w:t>
            </w:r>
          </w:p>
          <w:p>
            <w:pPr>
              <w:widowControl w:val="0"/>
              <w:spacing w:line="540" w:lineRule="exact"/>
              <w:ind w:firstLine="546" w:firstLineChars="195"/>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将红岭水库、牛路岭水库两库联合调度，按20年一遇标准疏浚、延伸</w:t>
            </w:r>
            <w:r>
              <w:rPr>
                <w:rFonts w:hint="eastAsia" w:ascii="仿宋_GB2312" w:hAnsi="仿宋_GB2312" w:eastAsia="仿宋_GB2312" w:cs="仿宋_GB2312"/>
                <w:color w:val="FF0000"/>
                <w:w w:val="90"/>
                <w:sz w:val="28"/>
                <w:szCs w:val="28"/>
              </w:rPr>
              <w:t>翡翠湾沟等7条沟道，新建翡翠湾沟等6座防洪（潮）闸，新建排涝涵6处。</w:t>
            </w:r>
          </w:p>
          <w:p>
            <w:pPr>
              <w:widowControl w:val="0"/>
              <w:spacing w:line="540" w:lineRule="exact"/>
              <w:ind w:firstLine="548" w:firstLineChars="195"/>
              <w:rPr>
                <w:rFonts w:ascii="楷体_GB2312" w:hAnsi="楷体_GB2312" w:eastAsia="楷体_GB2312" w:cs="楷体_GB2312"/>
                <w:b/>
                <w:sz w:val="28"/>
                <w:szCs w:val="28"/>
              </w:rPr>
            </w:pPr>
            <w:r>
              <w:rPr>
                <w:rFonts w:ascii="楷体_GB2312" w:hAnsi="楷体_GB2312" w:eastAsia="楷体_GB2312" w:cs="楷体_GB2312"/>
                <w:b/>
                <w:sz w:val="28"/>
                <w:szCs w:val="28"/>
              </w:rPr>
              <w:t>1</w:t>
            </w:r>
            <w:r>
              <w:rPr>
                <w:rFonts w:hint="eastAsia" w:ascii="楷体_GB2312" w:hAnsi="楷体_GB2312" w:eastAsia="楷体_GB2312" w:cs="楷体_GB2312"/>
                <w:b/>
                <w:sz w:val="28"/>
                <w:szCs w:val="28"/>
              </w:rPr>
              <w:t>5</w:t>
            </w:r>
            <w:r>
              <w:rPr>
                <w:rFonts w:ascii="楷体_GB2312" w:hAnsi="楷体_GB2312" w:eastAsia="楷体_GB2312" w:cs="楷体_GB2312"/>
                <w:b/>
                <w:sz w:val="28"/>
                <w:szCs w:val="28"/>
              </w:rPr>
              <w:t>.</w:t>
            </w:r>
            <w:r>
              <w:rPr>
                <w:rFonts w:hint="eastAsia" w:ascii="楷体_GB2312" w:hAnsi="楷体_GB2312" w:eastAsia="楷体_GB2312" w:cs="楷体_GB2312"/>
                <w:b/>
                <w:sz w:val="28"/>
                <w:szCs w:val="28"/>
              </w:rPr>
              <w:t>污水提质增效工程</w:t>
            </w:r>
          </w:p>
          <w:p>
            <w:pPr>
              <w:widowControl w:val="0"/>
              <w:spacing w:line="540" w:lineRule="exact"/>
              <w:ind w:firstLine="546" w:firstLineChars="195"/>
              <w:rPr>
                <w:rFonts w:ascii="仿宋_GB2312" w:hAnsi="仿宋_GB2312" w:eastAsia="仿宋_GB2312" w:cs="仿宋_GB2312"/>
                <w:sz w:val="28"/>
                <w:szCs w:val="28"/>
              </w:rPr>
            </w:pPr>
            <w:r>
              <w:rPr>
                <w:rFonts w:hint="eastAsia" w:ascii="仿宋_GB2312" w:hAnsi="仿宋_GB2312" w:eastAsia="仿宋_GB2312" w:cs="仿宋_GB2312"/>
                <w:sz w:val="28"/>
                <w:szCs w:val="28"/>
              </w:rPr>
              <w:t>配套建设博鳌镇、嘉积镇官塘片区、嘉积镇爱海路及潭门镇污水收集管网。</w:t>
            </w:r>
          </w:p>
          <w:p>
            <w:pPr>
              <w:widowControl w:val="0"/>
              <w:spacing w:line="540" w:lineRule="exact"/>
              <w:ind w:firstLine="548" w:firstLineChars="195"/>
              <w:rPr>
                <w:rFonts w:ascii="楷体_GB2312" w:hAnsi="楷体_GB2312" w:eastAsia="楷体_GB2312" w:cs="楷体_GB2312"/>
                <w:b/>
                <w:sz w:val="28"/>
                <w:szCs w:val="28"/>
              </w:rPr>
            </w:pPr>
            <w:r>
              <w:rPr>
                <w:rFonts w:hint="eastAsia" w:ascii="楷体_GB2312" w:hAnsi="楷体_GB2312" w:eastAsia="楷体_GB2312" w:cs="楷体_GB2312"/>
                <w:b/>
                <w:sz w:val="28"/>
                <w:szCs w:val="28"/>
              </w:rPr>
              <w:t>16</w:t>
            </w:r>
            <w:r>
              <w:rPr>
                <w:rFonts w:ascii="楷体_GB2312" w:hAnsi="楷体_GB2312" w:eastAsia="楷体_GB2312" w:cs="楷体_GB2312"/>
                <w:b/>
                <w:sz w:val="28"/>
                <w:szCs w:val="28"/>
              </w:rPr>
              <w:t>.</w:t>
            </w:r>
            <w:r>
              <w:rPr>
                <w:rFonts w:hint="eastAsia" w:ascii="楷体_GB2312" w:hAnsi="楷体_GB2312" w:eastAsia="楷体_GB2312" w:cs="楷体_GB2312"/>
                <w:b/>
                <w:sz w:val="28"/>
                <w:szCs w:val="28"/>
              </w:rPr>
              <w:t>勇敢河黑臭水体整治工程</w:t>
            </w:r>
          </w:p>
          <w:p>
            <w:pPr>
              <w:widowControl w:val="0"/>
              <w:spacing w:line="540" w:lineRule="exact"/>
              <w:ind w:firstLine="546" w:firstLineChars="195"/>
              <w:rPr>
                <w:rFonts w:ascii="仿宋_GB2312" w:hAnsi="仿宋_GB2312" w:eastAsia="仿宋_GB2312" w:cs="仿宋_GB2312"/>
                <w:sz w:val="28"/>
                <w:szCs w:val="28"/>
              </w:rPr>
            </w:pPr>
            <w:r>
              <w:rPr>
                <w:rFonts w:hint="eastAsia" w:ascii="仿宋_GB2312" w:hAnsi="仿宋_GB2312" w:eastAsia="仿宋_GB2312" w:cs="仿宋_GB2312"/>
                <w:sz w:val="28"/>
                <w:szCs w:val="28"/>
              </w:rPr>
              <w:t>对勇敢河进行综合治理，包括护坡护岸、清淤疏浚等。</w:t>
            </w:r>
          </w:p>
          <w:p>
            <w:pPr>
              <w:widowControl w:val="0"/>
              <w:spacing w:line="540" w:lineRule="exact"/>
              <w:ind w:firstLine="548" w:firstLineChars="195"/>
              <w:rPr>
                <w:rFonts w:ascii="楷体_GB2312" w:hAnsi="楷体_GB2312" w:eastAsia="楷体_GB2312" w:cs="楷体_GB2312"/>
                <w:b/>
                <w:sz w:val="28"/>
                <w:szCs w:val="28"/>
              </w:rPr>
            </w:pPr>
            <w:r>
              <w:rPr>
                <w:rFonts w:ascii="楷体_GB2312" w:hAnsi="楷体_GB2312" w:eastAsia="楷体_GB2312" w:cs="楷体_GB2312"/>
                <w:b/>
                <w:sz w:val="28"/>
                <w:szCs w:val="28"/>
              </w:rPr>
              <w:t>1</w:t>
            </w:r>
            <w:r>
              <w:rPr>
                <w:rFonts w:hint="eastAsia" w:ascii="楷体_GB2312" w:hAnsi="楷体_GB2312" w:eastAsia="楷体_GB2312" w:cs="楷体_GB2312"/>
                <w:b/>
                <w:sz w:val="28"/>
                <w:szCs w:val="28"/>
              </w:rPr>
              <w:t>7</w:t>
            </w:r>
            <w:r>
              <w:rPr>
                <w:rFonts w:ascii="楷体_GB2312" w:hAnsi="楷体_GB2312" w:eastAsia="楷体_GB2312" w:cs="楷体_GB2312"/>
                <w:b/>
                <w:sz w:val="28"/>
                <w:szCs w:val="28"/>
              </w:rPr>
              <w:t>.</w:t>
            </w:r>
            <w:r>
              <w:rPr>
                <w:rFonts w:hint="eastAsia" w:ascii="楷体_GB2312" w:hAnsi="楷体_GB2312" w:eastAsia="楷体_GB2312" w:cs="楷体_GB2312"/>
                <w:b/>
                <w:sz w:val="28"/>
                <w:szCs w:val="28"/>
              </w:rPr>
              <w:t>市污泥处置中心项目</w:t>
            </w:r>
          </w:p>
          <w:p>
            <w:pPr>
              <w:widowControl w:val="0"/>
              <w:spacing w:line="540" w:lineRule="exact"/>
              <w:ind w:firstLine="546" w:firstLineChars="195"/>
              <w:rPr>
                <w:rFonts w:ascii="仿宋_GB2312" w:hAnsi="仿宋_GB2312" w:eastAsia="仿宋_GB2312" w:cs="仿宋_GB2312"/>
                <w:sz w:val="28"/>
                <w:szCs w:val="28"/>
              </w:rPr>
            </w:pPr>
            <w:r>
              <w:rPr>
                <w:rFonts w:hint="eastAsia" w:ascii="仿宋_GB2312" w:hAnsi="仿宋_GB2312" w:eastAsia="仿宋_GB2312" w:cs="仿宋_GB2312"/>
                <w:sz w:val="28"/>
                <w:szCs w:val="28"/>
              </w:rPr>
              <w:t>新建1座污泥处置中心，处理规模为40吨/天。</w:t>
            </w:r>
          </w:p>
          <w:p>
            <w:pPr>
              <w:widowControl w:val="0"/>
              <w:spacing w:line="540" w:lineRule="exact"/>
              <w:ind w:firstLine="548" w:firstLineChars="195"/>
              <w:rPr>
                <w:rFonts w:ascii="楷体_GB2312" w:hAnsi="楷体_GB2312" w:eastAsia="楷体_GB2312" w:cs="楷体_GB2312"/>
                <w:b/>
                <w:sz w:val="28"/>
                <w:szCs w:val="28"/>
              </w:rPr>
            </w:pPr>
            <w:r>
              <w:rPr>
                <w:rFonts w:hint="eastAsia" w:ascii="楷体_GB2312" w:hAnsi="楷体_GB2312" w:eastAsia="楷体_GB2312" w:cs="楷体_GB2312"/>
                <w:b/>
                <w:sz w:val="28"/>
                <w:szCs w:val="28"/>
              </w:rPr>
              <w:t>18</w:t>
            </w:r>
            <w:r>
              <w:rPr>
                <w:rFonts w:ascii="楷体_GB2312" w:hAnsi="楷体_GB2312" w:eastAsia="楷体_GB2312" w:cs="楷体_GB2312"/>
                <w:b/>
                <w:sz w:val="28"/>
                <w:szCs w:val="28"/>
              </w:rPr>
              <w:t>.</w:t>
            </w:r>
            <w:r>
              <w:rPr>
                <w:rFonts w:hint="eastAsia" w:ascii="楷体_GB2312" w:hAnsi="楷体_GB2312" w:eastAsia="楷体_GB2312" w:cs="楷体_GB2312"/>
                <w:b/>
                <w:sz w:val="28"/>
                <w:szCs w:val="28"/>
              </w:rPr>
              <w:t>龙湾溪及沙荖溪整治工程</w:t>
            </w:r>
          </w:p>
          <w:p>
            <w:pPr>
              <w:widowControl w:val="0"/>
              <w:spacing w:line="540" w:lineRule="exact"/>
              <w:ind w:firstLine="546" w:firstLineChars="195"/>
              <w:rPr>
                <w:rFonts w:ascii="仿宋_GB2312" w:hAnsi="仿宋_GB2312" w:eastAsia="仿宋_GB2312" w:cs="仿宋_GB2312"/>
                <w:sz w:val="28"/>
                <w:szCs w:val="28"/>
              </w:rPr>
            </w:pPr>
            <w:r>
              <w:rPr>
                <w:rFonts w:hint="eastAsia" w:ascii="仿宋_GB2312" w:hAnsi="仿宋_GB2312" w:eastAsia="仿宋_GB2312" w:cs="仿宋_GB2312"/>
                <w:sz w:val="28"/>
                <w:szCs w:val="28"/>
              </w:rPr>
              <w:t>对龙湾溪、沙荖溪进行综合整治。包括清淤、护坡生态修复等内容。</w:t>
            </w:r>
          </w:p>
          <w:p>
            <w:pPr>
              <w:widowControl w:val="0"/>
              <w:spacing w:line="540" w:lineRule="exact"/>
              <w:ind w:firstLine="548" w:firstLineChars="195"/>
              <w:rPr>
                <w:rFonts w:ascii="楷体_GB2312" w:hAnsi="楷体_GB2312" w:eastAsia="楷体_GB2312" w:cs="楷体_GB2312"/>
                <w:b/>
                <w:sz w:val="28"/>
                <w:szCs w:val="28"/>
              </w:rPr>
            </w:pPr>
            <w:r>
              <w:rPr>
                <w:rFonts w:hint="eastAsia" w:ascii="楷体_GB2312" w:hAnsi="楷体_GB2312" w:eastAsia="楷体_GB2312" w:cs="楷体_GB2312"/>
                <w:b/>
                <w:sz w:val="28"/>
                <w:szCs w:val="28"/>
              </w:rPr>
              <w:t>19</w:t>
            </w:r>
            <w:r>
              <w:rPr>
                <w:rFonts w:ascii="楷体_GB2312" w:hAnsi="楷体_GB2312" w:eastAsia="楷体_GB2312" w:cs="楷体_GB2312"/>
                <w:b/>
                <w:sz w:val="28"/>
                <w:szCs w:val="28"/>
              </w:rPr>
              <w:t>.万泉河琼海段的饮用水取水口向上游迁移工程</w:t>
            </w:r>
          </w:p>
          <w:p>
            <w:pPr>
              <w:widowControl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将万泉河琼海段原有的取水口向上游迁移，保障年会用水、博鳌乐城国际医疗旅游先行区用水和全市人民群众的用水安全。</w:t>
            </w:r>
          </w:p>
          <w:p>
            <w:pPr>
              <w:widowControl w:val="0"/>
              <w:spacing w:line="540" w:lineRule="exact"/>
              <w:ind w:firstLine="562" w:firstLineChars="200"/>
              <w:rPr>
                <w:rFonts w:ascii="楷体_GB2312" w:hAnsi="楷体_GB2312" w:eastAsia="楷体_GB2312" w:cs="楷体_GB2312"/>
                <w:b/>
                <w:sz w:val="28"/>
                <w:szCs w:val="28"/>
              </w:rPr>
            </w:pPr>
            <w:r>
              <w:rPr>
                <w:rFonts w:ascii="楷体_GB2312" w:hAnsi="楷体_GB2312" w:eastAsia="楷体_GB2312" w:cs="楷体_GB2312"/>
                <w:b/>
                <w:sz w:val="28"/>
                <w:szCs w:val="28"/>
              </w:rPr>
              <w:t>2</w:t>
            </w:r>
            <w:r>
              <w:rPr>
                <w:rFonts w:hint="eastAsia" w:ascii="楷体_GB2312" w:hAnsi="楷体_GB2312" w:eastAsia="楷体_GB2312" w:cs="楷体_GB2312"/>
                <w:b/>
                <w:sz w:val="28"/>
                <w:szCs w:val="28"/>
              </w:rPr>
              <w:t>0</w:t>
            </w:r>
            <w:r>
              <w:rPr>
                <w:rFonts w:ascii="楷体_GB2312" w:hAnsi="楷体_GB2312" w:eastAsia="楷体_GB2312" w:cs="楷体_GB2312"/>
                <w:b/>
                <w:sz w:val="28"/>
                <w:szCs w:val="28"/>
              </w:rPr>
              <w:t>.排水管网排查检测项目</w:t>
            </w:r>
          </w:p>
          <w:p>
            <w:pPr>
              <w:widowControl w:val="0"/>
              <w:spacing w:line="540" w:lineRule="exact"/>
              <w:ind w:firstLine="560" w:firstLineChars="200"/>
              <w:rPr>
                <w:rFonts w:ascii="楷体_GB2312" w:hAnsi="楷体_GB2312" w:eastAsia="楷体_GB2312" w:cs="楷体_GB2312"/>
                <w:b/>
                <w:sz w:val="28"/>
                <w:szCs w:val="28"/>
              </w:rPr>
            </w:pPr>
            <w:r>
              <w:rPr>
                <w:rFonts w:hint="eastAsia" w:ascii="仿宋_GB2312" w:hAnsi="仿宋_GB2312" w:eastAsia="仿宋_GB2312" w:cs="仿宋_GB2312"/>
                <w:sz w:val="28"/>
                <w:szCs w:val="28"/>
              </w:rPr>
              <w:t>建设排水管网地理信息系统（GIS），并对全市排水管网进行排查检测。</w:t>
            </w:r>
          </w:p>
        </w:tc>
      </w:tr>
    </w:tbl>
    <w:p>
      <w:pPr>
        <w:pStyle w:val="9"/>
        <w:widowControl w:val="0"/>
        <w:spacing w:line="600" w:lineRule="exact"/>
        <w:outlineLvl w:val="1"/>
        <w:rPr>
          <w:rFonts w:ascii="楷体" w:hAnsi="楷体" w:eastAsia="楷体"/>
        </w:rPr>
      </w:pPr>
      <w:bookmarkStart w:id="434" w:name="_Toc56346964"/>
      <w:bookmarkStart w:id="435" w:name="_Toc23221"/>
      <w:bookmarkStart w:id="436" w:name="_Toc15753"/>
      <w:bookmarkStart w:id="437" w:name="_Toc7228"/>
      <w:bookmarkStart w:id="438" w:name="_Toc6213"/>
      <w:bookmarkStart w:id="439" w:name="_Toc29660"/>
      <w:bookmarkStart w:id="440" w:name="_Toc12930"/>
      <w:bookmarkStart w:id="441" w:name="_Toc887"/>
      <w:bookmarkStart w:id="442" w:name="_Toc20109"/>
      <w:bookmarkStart w:id="443" w:name="_Toc31145"/>
      <w:bookmarkStart w:id="444" w:name="_Toc27663"/>
      <w:r>
        <w:rPr>
          <w:rFonts w:hint="eastAsia" w:ascii="楷体" w:hAnsi="楷体" w:eastAsia="楷体"/>
        </w:rPr>
        <w:t>第三节</w:t>
      </w:r>
      <w:r>
        <w:rPr>
          <w:rFonts w:ascii="楷体" w:hAnsi="楷体" w:eastAsia="楷体"/>
        </w:rPr>
        <w:t xml:space="preserve">  </w:t>
      </w:r>
      <w:bookmarkEnd w:id="434"/>
      <w:bookmarkEnd w:id="435"/>
      <w:bookmarkEnd w:id="436"/>
      <w:bookmarkEnd w:id="437"/>
      <w:bookmarkEnd w:id="438"/>
      <w:bookmarkEnd w:id="439"/>
      <w:bookmarkEnd w:id="440"/>
      <w:bookmarkEnd w:id="441"/>
      <w:bookmarkEnd w:id="442"/>
      <w:bookmarkEnd w:id="443"/>
      <w:bookmarkEnd w:id="444"/>
      <w:r>
        <w:rPr>
          <w:rFonts w:hint="eastAsia" w:ascii="楷体" w:hAnsi="楷体" w:eastAsia="楷体"/>
        </w:rPr>
        <w:t>构建稳定可靠的智能电网</w:t>
      </w:r>
    </w:p>
    <w:p>
      <w:pPr>
        <w:widowControl w:val="0"/>
        <w:spacing w:line="60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建设海南电网琼海工程，调优电源结构。加强电网防风抗灾能力建设，进一步提升电网防风抗灾能力。争取推动琼海气电项目建设，不断强化电力保障能力。建成琼海现代农村电网综合示范区，全面完成提升电网三年行动计划，提前完成新一轮农村电网改造升级。全面提升电网智能化水平，推广“互联网</w:t>
      </w:r>
      <w:r>
        <w:rPr>
          <w:rFonts w:ascii="仿宋_GB2312" w:hAnsi="仿宋_GB2312" w:eastAsia="仿宋_GB2312" w:cs="仿宋_GB2312"/>
          <w:sz w:val="32"/>
          <w:szCs w:val="32"/>
        </w:rPr>
        <w:t>+”供电服务。推进综合能源服务，到2025年，全市基本实现住宅小区、公共停车场充电桩全覆盖，港口岸电和机场桥载建设使用覆盖率达到100%。</w:t>
      </w:r>
    </w:p>
    <w:tbl>
      <w:tblPr>
        <w:tblStyle w:val="1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288" w:type="dxa"/>
          </w:tcPr>
          <w:p>
            <w:pPr>
              <w:widowControl w:val="0"/>
              <w:spacing w:line="460" w:lineRule="exact"/>
              <w:jc w:val="center"/>
              <w:rPr>
                <w:rFonts w:ascii="Times New Roman" w:hAnsi="Times New Roman" w:eastAsia="黑体"/>
                <w:b/>
                <w:sz w:val="28"/>
                <w:szCs w:val="28"/>
              </w:rPr>
            </w:pPr>
            <w:r>
              <w:rPr>
                <w:rFonts w:hint="eastAsia" w:ascii="黑体" w:hAnsi="黑体" w:eastAsia="黑体"/>
                <w:b/>
                <w:sz w:val="28"/>
                <w:szCs w:val="28"/>
              </w:rPr>
              <w:t>专栏</w:t>
            </w:r>
            <w:r>
              <w:rPr>
                <w:rFonts w:ascii="黑体" w:hAnsi="黑体" w:eastAsia="黑体"/>
                <w:b/>
                <w:sz w:val="28"/>
                <w:szCs w:val="28"/>
              </w:rPr>
              <w:t>1</w:t>
            </w:r>
            <w:r>
              <w:rPr>
                <w:rFonts w:hint="eastAsia" w:ascii="黑体" w:hAnsi="黑体" w:eastAsia="黑体"/>
                <w:b/>
                <w:sz w:val="28"/>
                <w:szCs w:val="28"/>
              </w:rPr>
              <w:t>7</w:t>
            </w:r>
            <w:r>
              <w:rPr>
                <w:rFonts w:ascii="黑体" w:hAnsi="黑体" w:eastAsia="黑体"/>
                <w:b/>
                <w:sz w:val="28"/>
                <w:szCs w:val="28"/>
              </w:rPr>
              <w:t>：“十四五”时期琼海市“电网”规划建设重点工程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8" w:type="dxa"/>
          </w:tcPr>
          <w:p>
            <w:pPr>
              <w:widowControl w:val="0"/>
              <w:spacing w:line="52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01.</w:t>
            </w:r>
            <w:r>
              <w:rPr>
                <w:rFonts w:hint="eastAsia" w:ascii="楷体_GB2312" w:hAnsi="楷体_GB2312" w:eastAsia="楷体_GB2312" w:cs="楷体_GB2312"/>
                <w:b/>
                <w:sz w:val="28"/>
                <w:szCs w:val="28"/>
              </w:rPr>
              <w:t>琼海朝烈110kV变电站新建工程</w:t>
            </w:r>
          </w:p>
          <w:p>
            <w:pPr>
              <w:widowControl w:val="0"/>
              <w:spacing w:line="520" w:lineRule="exact"/>
              <w:ind w:firstLine="540" w:firstLineChars="193"/>
              <w:rPr>
                <w:rFonts w:ascii="仿宋_GB2312" w:hAnsi="仿宋_GB2312" w:eastAsia="仿宋_GB2312" w:cs="仿宋_GB2312"/>
                <w:sz w:val="28"/>
                <w:szCs w:val="28"/>
              </w:rPr>
            </w:pPr>
            <w:r>
              <w:rPr>
                <w:rFonts w:hint="eastAsia" w:ascii="仿宋_GB2312" w:hAnsi="仿宋_GB2312" w:eastAsia="仿宋_GB2312" w:cs="仿宋_GB2312"/>
                <w:sz w:val="28"/>
                <w:szCs w:val="28"/>
              </w:rPr>
              <w:t>新建朝烈输变电工程，主变容量2×50MVA,110kV最终出线4回。</w:t>
            </w:r>
          </w:p>
          <w:p>
            <w:pPr>
              <w:pStyle w:val="10"/>
              <w:spacing w:after="0" w:line="520" w:lineRule="exact"/>
              <w:ind w:left="0" w:leftChars="0" w:firstLine="562" w:firstLineChars="200"/>
              <w:rPr>
                <w:rFonts w:ascii="楷体_GB2312" w:hAnsi="楷体_GB2312" w:eastAsia="楷体_GB2312" w:cs="楷体_GB2312"/>
                <w:b/>
                <w:sz w:val="28"/>
                <w:szCs w:val="28"/>
              </w:rPr>
            </w:pPr>
            <w:r>
              <w:rPr>
                <w:rFonts w:hint="eastAsia" w:ascii="楷体_GB2312" w:hAnsi="楷体_GB2312" w:eastAsia="楷体_GB2312" w:cs="楷体_GB2312"/>
                <w:b/>
                <w:sz w:val="28"/>
                <w:szCs w:val="28"/>
              </w:rPr>
              <w:t>02.琼海铺仔110kV变电站新建工程</w:t>
            </w:r>
          </w:p>
          <w:p>
            <w:pPr>
              <w:pStyle w:val="10"/>
              <w:spacing w:after="0" w:line="520" w:lineRule="exact"/>
              <w:ind w:left="0" w:leftChars="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新建铺仔输变电工程，本期主变容量2×63MVA；110kV最终出线4回</w:t>
            </w:r>
          </w:p>
          <w:p>
            <w:pPr>
              <w:pStyle w:val="10"/>
              <w:spacing w:after="0" w:line="520" w:lineRule="exact"/>
              <w:ind w:left="0" w:leftChars="0" w:firstLine="562" w:firstLineChars="200"/>
              <w:rPr>
                <w:rFonts w:ascii="楷体_GB2312" w:hAnsi="楷体_GB2312" w:eastAsia="楷体_GB2312" w:cs="楷体_GB2312"/>
                <w:b/>
                <w:sz w:val="28"/>
                <w:szCs w:val="28"/>
              </w:rPr>
            </w:pPr>
            <w:r>
              <w:rPr>
                <w:rFonts w:hint="eastAsia" w:ascii="楷体_GB2312" w:hAnsi="楷体_GB2312" w:eastAsia="楷体_GB2312" w:cs="楷体_GB2312"/>
                <w:b/>
                <w:sz w:val="28"/>
                <w:szCs w:val="28"/>
              </w:rPr>
              <w:t>03.琼海嘉积110kV变电站增容工程</w:t>
            </w:r>
          </w:p>
          <w:p>
            <w:pPr>
              <w:pStyle w:val="10"/>
              <w:spacing w:after="0" w:line="520" w:lineRule="exact"/>
              <w:ind w:left="0" w:leftChars="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对</w:t>
            </w:r>
            <w:r>
              <w:rPr>
                <w:rFonts w:ascii="仿宋_GB2312" w:hAnsi="仿宋_GB2312" w:eastAsia="仿宋_GB2312" w:cs="仿宋_GB2312"/>
                <w:sz w:val="28"/>
                <w:szCs w:val="28"/>
              </w:rPr>
              <w:t>嘉积站主变容量</w:t>
            </w:r>
            <w:r>
              <w:rPr>
                <w:rFonts w:hint="eastAsia" w:ascii="仿宋_GB2312" w:hAnsi="仿宋_GB2312" w:eastAsia="仿宋_GB2312" w:cs="仿宋_GB2312"/>
                <w:sz w:val="28"/>
                <w:szCs w:val="28"/>
              </w:rPr>
              <w:t>增容为2×63MVA。</w:t>
            </w:r>
          </w:p>
          <w:p>
            <w:pPr>
              <w:pStyle w:val="10"/>
              <w:spacing w:after="0" w:line="520" w:lineRule="exact"/>
              <w:ind w:left="0" w:leftChars="0" w:firstLine="562" w:firstLineChars="200"/>
              <w:rPr>
                <w:rFonts w:ascii="楷体_GB2312" w:hAnsi="楷体_GB2312" w:eastAsia="楷体_GB2312" w:cs="楷体_GB2312"/>
                <w:b/>
                <w:sz w:val="28"/>
                <w:szCs w:val="28"/>
              </w:rPr>
            </w:pPr>
            <w:r>
              <w:rPr>
                <w:rFonts w:hint="eastAsia" w:ascii="楷体_GB2312" w:hAnsi="楷体_GB2312" w:eastAsia="楷体_GB2312" w:cs="楷体_GB2312"/>
                <w:b/>
                <w:sz w:val="28"/>
                <w:szCs w:val="28"/>
              </w:rPr>
              <w:t>04.琼海椰林110kV变电站扩建工程</w:t>
            </w:r>
          </w:p>
          <w:p>
            <w:pPr>
              <w:pStyle w:val="10"/>
              <w:spacing w:after="0" w:line="520" w:lineRule="exact"/>
              <w:ind w:left="0" w:leftChars="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椰林站扩建#2主变，主变容量为2×40MVA。</w:t>
            </w:r>
          </w:p>
          <w:p>
            <w:pPr>
              <w:widowControl w:val="0"/>
              <w:spacing w:line="52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w:t>
            </w:r>
            <w:r>
              <w:rPr>
                <w:rFonts w:hint="eastAsia" w:ascii="楷体_GB2312" w:hAnsi="楷体_GB2312" w:eastAsia="楷体_GB2312" w:cs="楷体_GB2312"/>
                <w:b/>
                <w:sz w:val="28"/>
                <w:szCs w:val="28"/>
              </w:rPr>
              <w:t>5</w:t>
            </w:r>
            <w:r>
              <w:rPr>
                <w:rFonts w:ascii="楷体_GB2312" w:hAnsi="楷体_GB2312" w:eastAsia="楷体_GB2312" w:cs="楷体_GB2312"/>
                <w:b/>
                <w:sz w:val="28"/>
                <w:szCs w:val="28"/>
              </w:rPr>
              <w:t>.</w:t>
            </w:r>
            <w:r>
              <w:rPr>
                <w:rFonts w:hint="eastAsia" w:ascii="楷体_GB2312" w:hAnsi="楷体_GB2312" w:eastAsia="楷体_GB2312" w:cs="楷体_GB2312"/>
                <w:b/>
                <w:sz w:val="28"/>
                <w:szCs w:val="28"/>
              </w:rPr>
              <w:t>电缆管沟建设工程</w:t>
            </w:r>
          </w:p>
          <w:p>
            <w:pPr>
              <w:widowControl w:val="0"/>
              <w:spacing w:line="520" w:lineRule="exact"/>
              <w:ind w:firstLine="540" w:firstLineChars="193"/>
              <w:rPr>
                <w:rFonts w:ascii="仿宋_GB2312" w:hAnsi="仿宋_GB2312" w:eastAsia="仿宋_GB2312" w:cs="仿宋_GB2312"/>
                <w:sz w:val="28"/>
                <w:szCs w:val="28"/>
              </w:rPr>
            </w:pPr>
            <w:r>
              <w:rPr>
                <w:rFonts w:hint="eastAsia" w:ascii="仿宋_GB2312" w:hAnsi="仿宋_GB2312" w:eastAsia="仿宋_GB2312" w:cs="仿宋_GB2312"/>
                <w:sz w:val="28"/>
                <w:szCs w:val="28"/>
              </w:rPr>
              <w:t>建设嘉积、博鳌等镇电缆管沟。</w:t>
            </w:r>
          </w:p>
          <w:p>
            <w:pPr>
              <w:widowControl w:val="0"/>
              <w:spacing w:line="52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w:t>
            </w:r>
            <w:r>
              <w:rPr>
                <w:rFonts w:hint="eastAsia" w:ascii="楷体_GB2312" w:hAnsi="楷体_GB2312" w:eastAsia="楷体_GB2312" w:cs="楷体_GB2312"/>
                <w:b/>
                <w:sz w:val="28"/>
                <w:szCs w:val="28"/>
              </w:rPr>
              <w:t>6</w:t>
            </w:r>
            <w:r>
              <w:rPr>
                <w:rFonts w:ascii="楷体_GB2312" w:hAnsi="楷体_GB2312" w:eastAsia="楷体_GB2312" w:cs="楷体_GB2312"/>
                <w:b/>
                <w:sz w:val="28"/>
                <w:szCs w:val="28"/>
              </w:rPr>
              <w:t>.</w:t>
            </w:r>
            <w:r>
              <w:rPr>
                <w:rFonts w:hint="eastAsia" w:ascii="楷体_GB2312" w:hAnsi="楷体_GB2312" w:eastAsia="楷体_GB2312" w:cs="楷体_GB2312"/>
                <w:b/>
                <w:sz w:val="28"/>
                <w:szCs w:val="28"/>
              </w:rPr>
              <w:t>低压配电网建设工程</w:t>
            </w:r>
          </w:p>
          <w:p>
            <w:pPr>
              <w:widowControl w:val="0"/>
              <w:spacing w:line="520" w:lineRule="exact"/>
              <w:ind w:firstLine="540" w:firstLineChars="193"/>
              <w:rPr>
                <w:rFonts w:ascii="仿宋_GB2312" w:hAnsi="仿宋_GB2312" w:eastAsia="仿宋_GB2312" w:cs="仿宋_GB2312"/>
                <w:sz w:val="28"/>
                <w:szCs w:val="28"/>
              </w:rPr>
            </w:pPr>
            <w:r>
              <w:rPr>
                <w:rFonts w:hint="eastAsia" w:ascii="仿宋_GB2312" w:hAnsi="仿宋_GB2312" w:eastAsia="仿宋_GB2312" w:cs="仿宋_GB2312"/>
                <w:sz w:val="28"/>
                <w:szCs w:val="28"/>
              </w:rPr>
              <w:t>新建及改造配变1050台，容量268.955MVA，台区1050个，低压线路1559km。</w:t>
            </w:r>
          </w:p>
          <w:p>
            <w:pPr>
              <w:widowControl w:val="0"/>
              <w:spacing w:line="520" w:lineRule="exact"/>
              <w:ind w:firstLine="542" w:firstLineChars="193"/>
              <w:rPr>
                <w:rFonts w:ascii="楷体_GB2312" w:hAnsi="楷体_GB2312" w:eastAsia="楷体_GB2312" w:cs="楷体_GB2312"/>
                <w:b/>
                <w:color w:val="FF0000"/>
                <w:sz w:val="28"/>
                <w:szCs w:val="28"/>
              </w:rPr>
            </w:pPr>
            <w:r>
              <w:rPr>
                <w:rFonts w:ascii="楷体_GB2312" w:hAnsi="楷体_GB2312" w:eastAsia="楷体_GB2312" w:cs="楷体_GB2312"/>
                <w:b/>
                <w:color w:val="FF0000"/>
                <w:sz w:val="28"/>
                <w:szCs w:val="28"/>
              </w:rPr>
              <w:t>0</w:t>
            </w:r>
            <w:r>
              <w:rPr>
                <w:rFonts w:hint="eastAsia" w:ascii="楷体_GB2312" w:hAnsi="楷体_GB2312" w:eastAsia="楷体_GB2312" w:cs="楷体_GB2312"/>
                <w:b/>
                <w:color w:val="FF0000"/>
                <w:sz w:val="28"/>
                <w:szCs w:val="28"/>
              </w:rPr>
              <w:t>7</w:t>
            </w:r>
            <w:r>
              <w:rPr>
                <w:rFonts w:ascii="楷体_GB2312" w:hAnsi="楷体_GB2312" w:eastAsia="楷体_GB2312" w:cs="楷体_GB2312"/>
                <w:b/>
                <w:color w:val="FF0000"/>
                <w:sz w:val="28"/>
                <w:szCs w:val="28"/>
              </w:rPr>
              <w:t>.博鳌乐城低碳智慧能源与智能电网综合示范区项目</w:t>
            </w:r>
          </w:p>
          <w:p>
            <w:pPr>
              <w:widowControl w:val="0"/>
              <w:spacing w:line="520" w:lineRule="exact"/>
              <w:ind w:firstLine="540" w:firstLineChars="193"/>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建设分布式光伏发电项目30兆瓦、分布式储能项目17兆瓦时，建设乐城、朝阳等2座110千伏变电站、10千伏配网结构，部署智能用电及智能家居设备，建设电动汽车充电桩200余个，建设两个制冷装机冷容量合计300兆瓦的能源站。</w:t>
            </w:r>
          </w:p>
          <w:p>
            <w:pPr>
              <w:widowControl w:val="0"/>
              <w:spacing w:line="52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w:t>
            </w:r>
            <w:r>
              <w:rPr>
                <w:rFonts w:hint="eastAsia" w:ascii="楷体_GB2312" w:hAnsi="楷体_GB2312" w:eastAsia="楷体_GB2312" w:cs="楷体_GB2312"/>
                <w:b/>
                <w:sz w:val="28"/>
                <w:szCs w:val="28"/>
              </w:rPr>
              <w:t>8</w:t>
            </w:r>
            <w:r>
              <w:rPr>
                <w:rFonts w:ascii="楷体_GB2312" w:hAnsi="楷体_GB2312" w:eastAsia="楷体_GB2312" w:cs="楷体_GB2312"/>
                <w:b/>
                <w:sz w:val="28"/>
                <w:szCs w:val="28"/>
              </w:rPr>
              <w:t>.</w:t>
            </w:r>
            <w:r>
              <w:rPr>
                <w:rFonts w:hint="eastAsia" w:ascii="楷体_GB2312" w:hAnsi="楷体_GB2312" w:eastAsia="楷体_GB2312" w:cs="楷体_GB2312"/>
                <w:b/>
                <w:sz w:val="28"/>
                <w:szCs w:val="28"/>
              </w:rPr>
              <w:t>变电站新出中压线路工程</w:t>
            </w:r>
          </w:p>
          <w:p>
            <w:pPr>
              <w:widowControl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新出10kV线路85回，新建电缆线路214.53km，架空线路149.34km。新建智能型环网柜37台，智能断路器27台，户外开关站9座</w:t>
            </w:r>
          </w:p>
          <w:p>
            <w:pPr>
              <w:widowControl w:val="0"/>
              <w:spacing w:line="520" w:lineRule="exact"/>
              <w:ind w:firstLine="562" w:firstLineChars="200"/>
              <w:rPr>
                <w:rFonts w:ascii="楷体_GB2312" w:hAnsi="楷体_GB2312" w:eastAsia="楷体_GB2312" w:cs="楷体_GB2312"/>
                <w:b/>
                <w:sz w:val="28"/>
                <w:szCs w:val="28"/>
              </w:rPr>
            </w:pPr>
            <w:r>
              <w:rPr>
                <w:rFonts w:ascii="楷体_GB2312" w:hAnsi="楷体_GB2312" w:eastAsia="楷体_GB2312" w:cs="楷体_GB2312"/>
                <w:b/>
                <w:sz w:val="28"/>
                <w:szCs w:val="28"/>
              </w:rPr>
              <w:t>0</w:t>
            </w:r>
            <w:r>
              <w:rPr>
                <w:rFonts w:hint="eastAsia" w:ascii="楷体_GB2312" w:hAnsi="楷体_GB2312" w:eastAsia="楷体_GB2312" w:cs="楷体_GB2312"/>
                <w:b/>
                <w:sz w:val="28"/>
                <w:szCs w:val="28"/>
              </w:rPr>
              <w:t>9</w:t>
            </w:r>
            <w:r>
              <w:rPr>
                <w:rFonts w:ascii="楷体_GB2312" w:hAnsi="楷体_GB2312" w:eastAsia="楷体_GB2312" w:cs="楷体_GB2312"/>
                <w:b/>
                <w:sz w:val="28"/>
                <w:szCs w:val="28"/>
              </w:rPr>
              <w:t>.</w:t>
            </w:r>
            <w:r>
              <w:rPr>
                <w:rFonts w:hint="eastAsia" w:ascii="楷体_GB2312" w:hAnsi="楷体_GB2312" w:eastAsia="楷体_GB2312" w:cs="楷体_GB2312"/>
                <w:b/>
                <w:sz w:val="28"/>
                <w:szCs w:val="28"/>
              </w:rPr>
              <w:t>中压配电网改造工程</w:t>
            </w:r>
          </w:p>
          <w:p>
            <w:pPr>
              <w:widowControl w:val="0"/>
              <w:spacing w:line="520" w:lineRule="exact"/>
              <w:ind w:firstLine="540" w:firstLineChars="193"/>
              <w:rPr>
                <w:rFonts w:ascii="仿宋_GB2312" w:hAnsi="仿宋_GB2312" w:eastAsia="仿宋_GB2312" w:cs="仿宋_GB2312"/>
                <w:sz w:val="28"/>
                <w:szCs w:val="28"/>
              </w:rPr>
            </w:pPr>
            <w:r>
              <w:rPr>
                <w:rFonts w:hint="eastAsia" w:ascii="仿宋_GB2312" w:hAnsi="仿宋_GB2312" w:eastAsia="仿宋_GB2312" w:cs="仿宋_GB2312"/>
                <w:sz w:val="28"/>
                <w:szCs w:val="28"/>
              </w:rPr>
              <w:t>共改造电缆线路41.57km，架空线路456.37km。涉及改造智能型环网柜13台，智能断路器88台，智能故障指示器21套。</w:t>
            </w:r>
          </w:p>
          <w:p>
            <w:pPr>
              <w:widowControl w:val="0"/>
              <w:spacing w:line="520" w:lineRule="exact"/>
              <w:ind w:firstLine="542" w:firstLineChars="193"/>
              <w:rPr>
                <w:rFonts w:ascii="楷体_GB2312" w:hAnsi="楷体_GB2312" w:eastAsia="楷体_GB2312" w:cs="楷体_GB2312"/>
                <w:b/>
                <w:sz w:val="28"/>
                <w:szCs w:val="28"/>
              </w:rPr>
            </w:pPr>
            <w:r>
              <w:rPr>
                <w:rFonts w:hint="eastAsia" w:ascii="楷体_GB2312" w:hAnsi="楷体_GB2312" w:eastAsia="楷体_GB2312" w:cs="楷体_GB2312"/>
                <w:b/>
                <w:sz w:val="28"/>
                <w:szCs w:val="28"/>
              </w:rPr>
              <w:t>10</w:t>
            </w:r>
            <w:r>
              <w:rPr>
                <w:rFonts w:ascii="楷体_GB2312" w:hAnsi="楷体_GB2312" w:eastAsia="楷体_GB2312" w:cs="楷体_GB2312"/>
                <w:b/>
                <w:sz w:val="28"/>
                <w:szCs w:val="28"/>
              </w:rPr>
              <w:t>.</w:t>
            </w:r>
            <w:r>
              <w:rPr>
                <w:rFonts w:hint="eastAsia" w:ascii="楷体_GB2312" w:hAnsi="楷体_GB2312" w:eastAsia="楷体_GB2312" w:cs="楷体_GB2312"/>
                <w:b/>
                <w:sz w:val="28"/>
                <w:szCs w:val="28"/>
              </w:rPr>
              <w:t>220千伏官塘变电站增容工程</w:t>
            </w:r>
          </w:p>
          <w:p>
            <w:pPr>
              <w:widowControl w:val="0"/>
              <w:spacing w:line="520" w:lineRule="exact"/>
              <w:ind w:firstLine="540" w:firstLineChars="193"/>
              <w:rPr>
                <w:rFonts w:ascii="仿宋_GB2312" w:hAnsi="仿宋_GB2312" w:eastAsia="仿宋_GB2312" w:cs="仿宋_GB2312"/>
                <w:sz w:val="28"/>
                <w:szCs w:val="28"/>
              </w:rPr>
            </w:pPr>
            <w:r>
              <w:rPr>
                <w:rFonts w:hint="eastAsia" w:ascii="仿宋_GB2312" w:hAnsi="仿宋_GB2312" w:eastAsia="仿宋_GB2312" w:cs="仿宋_GB2312"/>
                <w:sz w:val="28"/>
                <w:szCs w:val="28"/>
              </w:rPr>
              <w:t>增容220kV官塘站为2×180MVA，满足新增负荷供电需求。</w:t>
            </w:r>
          </w:p>
          <w:p>
            <w:pPr>
              <w:widowControl w:val="0"/>
              <w:spacing w:line="520" w:lineRule="exact"/>
              <w:ind w:firstLine="542" w:firstLineChars="193"/>
              <w:rPr>
                <w:rFonts w:ascii="楷体_GB2312" w:hAnsi="楷体_GB2312" w:eastAsia="楷体_GB2312" w:cs="楷体_GB2312"/>
                <w:b/>
                <w:sz w:val="28"/>
                <w:szCs w:val="28"/>
              </w:rPr>
            </w:pPr>
            <w:r>
              <w:rPr>
                <w:rFonts w:hint="eastAsia" w:ascii="楷体_GB2312" w:hAnsi="楷体_GB2312" w:eastAsia="楷体_GB2312" w:cs="楷体_GB2312"/>
                <w:b/>
                <w:sz w:val="28"/>
                <w:szCs w:val="28"/>
              </w:rPr>
              <w:t>11</w:t>
            </w:r>
            <w:r>
              <w:rPr>
                <w:rFonts w:ascii="楷体_GB2312" w:hAnsi="楷体_GB2312" w:eastAsia="楷体_GB2312" w:cs="楷体_GB2312"/>
                <w:b/>
                <w:sz w:val="28"/>
                <w:szCs w:val="28"/>
              </w:rPr>
              <w:t>.220千伏塔洋变电站扩建工程</w:t>
            </w:r>
          </w:p>
          <w:p>
            <w:pPr>
              <w:widowControl w:val="0"/>
              <w:spacing w:line="520" w:lineRule="exact"/>
              <w:ind w:firstLine="540" w:firstLineChars="193"/>
              <w:rPr>
                <w:rFonts w:ascii="仿宋_GB2312" w:hAnsi="仿宋_GB2312" w:eastAsia="仿宋_GB2312" w:cs="仿宋_GB2312"/>
                <w:sz w:val="28"/>
                <w:szCs w:val="28"/>
              </w:rPr>
            </w:pPr>
            <w:r>
              <w:rPr>
                <w:rFonts w:hint="eastAsia" w:ascii="仿宋_GB2312" w:hAnsi="仿宋_GB2312" w:eastAsia="仿宋_GB2312" w:cs="仿宋_GB2312"/>
                <w:sz w:val="28"/>
                <w:szCs w:val="28"/>
              </w:rPr>
              <w:t>扩建220kV塔洋站第三台主变，形成主变容量2×120+180MVA，满足新增负荷供电需求。</w:t>
            </w:r>
          </w:p>
          <w:p>
            <w:pPr>
              <w:widowControl w:val="0"/>
              <w:spacing w:line="520" w:lineRule="exact"/>
              <w:ind w:firstLine="542" w:firstLineChars="193"/>
              <w:rPr>
                <w:rFonts w:ascii="楷体_GB2312" w:hAnsi="楷体_GB2312" w:eastAsia="楷体_GB2312" w:cs="楷体_GB2312"/>
                <w:b/>
                <w:sz w:val="28"/>
                <w:szCs w:val="28"/>
              </w:rPr>
            </w:pPr>
            <w:r>
              <w:rPr>
                <w:rFonts w:hint="eastAsia" w:ascii="楷体_GB2312" w:hAnsi="楷体_GB2312" w:eastAsia="楷体_GB2312" w:cs="楷体_GB2312"/>
                <w:b/>
                <w:sz w:val="28"/>
                <w:szCs w:val="28"/>
              </w:rPr>
              <w:t>12</w:t>
            </w:r>
            <w:r>
              <w:rPr>
                <w:rFonts w:ascii="楷体_GB2312" w:hAnsi="楷体_GB2312" w:eastAsia="楷体_GB2312" w:cs="楷体_GB2312"/>
                <w:b/>
                <w:sz w:val="28"/>
                <w:szCs w:val="28"/>
              </w:rPr>
              <w:t>.220千伏</w:t>
            </w:r>
            <w:r>
              <w:rPr>
                <w:rFonts w:hint="eastAsia" w:ascii="楷体_GB2312" w:hAnsi="楷体_GB2312" w:eastAsia="楷体_GB2312" w:cs="楷体_GB2312"/>
                <w:b/>
                <w:sz w:val="28"/>
                <w:szCs w:val="28"/>
              </w:rPr>
              <w:t>朝阳</w:t>
            </w:r>
            <w:r>
              <w:rPr>
                <w:rFonts w:ascii="楷体_GB2312" w:hAnsi="楷体_GB2312" w:eastAsia="楷体_GB2312" w:cs="楷体_GB2312"/>
                <w:b/>
                <w:sz w:val="28"/>
                <w:szCs w:val="28"/>
              </w:rPr>
              <w:t>输变电新建工程</w:t>
            </w:r>
          </w:p>
          <w:p>
            <w:pPr>
              <w:widowControl w:val="0"/>
              <w:spacing w:line="520" w:lineRule="exact"/>
              <w:ind w:firstLine="540" w:firstLineChars="193"/>
              <w:rPr>
                <w:rFonts w:ascii="仿宋_GB2312" w:hAnsi="仿宋_GB2312" w:eastAsia="仿宋_GB2312" w:cs="仿宋_GB2312"/>
                <w:sz w:val="28"/>
                <w:szCs w:val="28"/>
              </w:rPr>
            </w:pPr>
            <w:r>
              <w:rPr>
                <w:rFonts w:hint="eastAsia" w:ascii="仿宋_GB2312" w:hAnsi="仿宋_GB2312" w:eastAsia="仿宋_GB2312" w:cs="仿宋_GB2312"/>
                <w:sz w:val="28"/>
                <w:szCs w:val="28"/>
              </w:rPr>
              <w:t>新增220kV朝阳站，出线优化周边110kV网架，提升供电可靠性、满足周边电力需求。</w:t>
            </w:r>
          </w:p>
          <w:p>
            <w:pPr>
              <w:pStyle w:val="10"/>
              <w:spacing w:after="0" w:line="520" w:lineRule="exact"/>
              <w:ind w:left="0" w:leftChars="0" w:firstLine="562" w:firstLineChars="200"/>
              <w:rPr>
                <w:rFonts w:ascii="楷体_GB2312" w:hAnsi="楷体_GB2312" w:eastAsia="楷体_GB2312" w:cs="楷体_GB2312"/>
                <w:b/>
                <w:sz w:val="28"/>
                <w:szCs w:val="28"/>
              </w:rPr>
            </w:pPr>
            <w:r>
              <w:rPr>
                <w:rFonts w:hint="eastAsia" w:ascii="楷体_GB2312" w:hAnsi="楷体_GB2312" w:eastAsia="楷体_GB2312" w:cs="楷体_GB2312"/>
                <w:b/>
                <w:sz w:val="28"/>
                <w:szCs w:val="28"/>
              </w:rPr>
              <w:t>13.配电台区智能化建设</w:t>
            </w:r>
          </w:p>
          <w:p>
            <w:pPr>
              <w:widowControl w:val="0"/>
              <w:spacing w:line="520" w:lineRule="exact"/>
              <w:ind w:firstLine="540" w:firstLineChars="193"/>
              <w:rPr>
                <w:rFonts w:ascii="仿宋_GB2312" w:hAnsi="仿宋_GB2312" w:eastAsia="仿宋_GB2312" w:cs="仿宋_GB2312"/>
                <w:sz w:val="28"/>
                <w:szCs w:val="28"/>
              </w:rPr>
            </w:pPr>
            <w:r>
              <w:rPr>
                <w:rFonts w:ascii="仿宋_GB2312" w:hAnsi="仿宋_GB2312" w:eastAsia="仿宋_GB2312" w:cs="仿宋_GB2312"/>
                <w:sz w:val="28"/>
                <w:szCs w:val="28"/>
              </w:rPr>
              <w:t>对25个台区进行智能化升级改造</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新建及改造配电变压器1050个</w:t>
            </w:r>
            <w:r>
              <w:rPr>
                <w:rFonts w:hint="eastAsia" w:ascii="仿宋_GB2312" w:hAnsi="仿宋_GB2312" w:eastAsia="仿宋_GB2312" w:cs="仿宋_GB2312"/>
                <w:sz w:val="28"/>
                <w:szCs w:val="28"/>
              </w:rPr>
              <w:t>。</w:t>
            </w:r>
          </w:p>
          <w:p>
            <w:pPr>
              <w:widowControl w:val="0"/>
              <w:spacing w:line="52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1</w:t>
            </w:r>
            <w:r>
              <w:rPr>
                <w:rFonts w:hint="eastAsia" w:ascii="楷体_GB2312" w:hAnsi="楷体_GB2312" w:eastAsia="楷体_GB2312" w:cs="楷体_GB2312"/>
                <w:b/>
                <w:sz w:val="28"/>
                <w:szCs w:val="28"/>
              </w:rPr>
              <w:t>4</w:t>
            </w:r>
            <w:r>
              <w:rPr>
                <w:rFonts w:ascii="楷体_GB2312" w:hAnsi="楷体_GB2312" w:eastAsia="楷体_GB2312" w:cs="楷体_GB2312"/>
                <w:b/>
                <w:sz w:val="28"/>
                <w:szCs w:val="28"/>
              </w:rPr>
              <w:t>.琼海天然气发电调峰蓄能项目</w:t>
            </w:r>
          </w:p>
          <w:p>
            <w:pPr>
              <w:widowControl w:val="0"/>
              <w:spacing w:line="520" w:lineRule="exact"/>
              <w:ind w:firstLine="546" w:firstLineChars="195"/>
              <w:rPr>
                <w:rFonts w:ascii="楷体_GB2312" w:hAnsi="楷体_GB2312" w:eastAsia="楷体_GB2312" w:cs="楷体_GB2312"/>
                <w:b/>
                <w:sz w:val="28"/>
                <w:szCs w:val="28"/>
              </w:rPr>
            </w:pPr>
            <w:r>
              <w:rPr>
                <w:rFonts w:hint="eastAsia" w:ascii="仿宋_GB2312" w:hAnsi="仿宋_GB2312" w:eastAsia="仿宋_GB2312" w:cs="仿宋_GB2312"/>
                <w:sz w:val="28"/>
                <w:szCs w:val="28"/>
              </w:rPr>
              <w:t>建设2x460MW天然气发电机组及相应的公用设施，包括配电装置区、主厂房区、冷却塔区、水务区、危险品库区、燃料接收区等。</w:t>
            </w:r>
          </w:p>
        </w:tc>
      </w:tr>
    </w:tbl>
    <w:p>
      <w:pPr>
        <w:pStyle w:val="9"/>
        <w:widowControl w:val="0"/>
        <w:spacing w:line="640" w:lineRule="exact"/>
        <w:outlineLvl w:val="1"/>
        <w:rPr>
          <w:rFonts w:ascii="楷体" w:hAnsi="楷体" w:eastAsia="楷体"/>
        </w:rPr>
      </w:pPr>
      <w:bookmarkStart w:id="445" w:name="_Toc56346965"/>
      <w:bookmarkStart w:id="446" w:name="_Toc18080"/>
      <w:bookmarkStart w:id="447" w:name="_Toc20074"/>
      <w:bookmarkStart w:id="448" w:name="_Toc7138"/>
      <w:bookmarkStart w:id="449" w:name="_Toc11024"/>
      <w:bookmarkStart w:id="450" w:name="_Toc15541"/>
      <w:bookmarkStart w:id="451" w:name="_Toc16526"/>
      <w:bookmarkStart w:id="452" w:name="_Toc30640"/>
      <w:bookmarkStart w:id="453" w:name="_Toc20337"/>
      <w:bookmarkStart w:id="454" w:name="_Toc18722"/>
      <w:bookmarkStart w:id="455" w:name="_Toc2340"/>
      <w:r>
        <w:rPr>
          <w:rFonts w:hint="eastAsia" w:ascii="楷体" w:hAnsi="楷体" w:eastAsia="楷体"/>
        </w:rPr>
        <w:t>第四节</w:t>
      </w:r>
      <w:r>
        <w:rPr>
          <w:rFonts w:ascii="楷体" w:hAnsi="楷体" w:eastAsia="楷体"/>
        </w:rPr>
        <w:t xml:space="preserve">  </w:t>
      </w:r>
      <w:bookmarkEnd w:id="445"/>
      <w:bookmarkEnd w:id="446"/>
      <w:bookmarkEnd w:id="447"/>
      <w:bookmarkEnd w:id="448"/>
      <w:bookmarkEnd w:id="449"/>
      <w:bookmarkEnd w:id="450"/>
      <w:bookmarkEnd w:id="451"/>
      <w:bookmarkEnd w:id="452"/>
      <w:bookmarkEnd w:id="453"/>
      <w:bookmarkEnd w:id="454"/>
      <w:bookmarkEnd w:id="455"/>
      <w:r>
        <w:rPr>
          <w:rFonts w:hint="eastAsia" w:ascii="楷体" w:hAnsi="楷体" w:eastAsia="楷体"/>
        </w:rPr>
        <w:t>构建覆盖城乡的供气管网</w:t>
      </w:r>
    </w:p>
    <w:p>
      <w:pPr>
        <w:widowControl w:val="0"/>
        <w:spacing w:line="64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依托环岛天然气管网及琼海支线，融入全省天然气“一张网”。加快完善全市城镇天然气管网设施建设，打通天然气利用“最后一公里”，实现天然气管网全覆盖。</w:t>
      </w:r>
      <w:r>
        <w:rPr>
          <w:rFonts w:ascii="仿宋_GB2312" w:hAnsi="仿宋_GB2312" w:eastAsia="仿宋_GB2312" w:cs="仿宋_GB2312"/>
          <w:sz w:val="32"/>
          <w:szCs w:val="32"/>
        </w:rPr>
        <w:t>加快全市汽车加气站布局建设，布局建设潭门等地的船舶加注站，</w:t>
      </w:r>
      <w:r>
        <w:rPr>
          <w:rFonts w:hint="eastAsia" w:ascii="仿宋_GB2312" w:hAnsi="仿宋_GB2312" w:eastAsia="仿宋_GB2312" w:cs="仿宋_GB2312"/>
          <w:sz w:val="32"/>
          <w:szCs w:val="32"/>
        </w:rPr>
        <w:t>打造科学完善的清洁能源供应体系。推动建设航煤输送管道工程，保障博鳌机场航油稳定供应。实施“气代柴薪”工程，推进燃气下乡进村。</w:t>
      </w:r>
    </w:p>
    <w:tbl>
      <w:tblPr>
        <w:tblStyle w:val="1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288" w:type="dxa"/>
          </w:tcPr>
          <w:p>
            <w:pPr>
              <w:widowControl w:val="0"/>
              <w:spacing w:line="460" w:lineRule="exact"/>
              <w:jc w:val="center"/>
              <w:rPr>
                <w:rFonts w:ascii="Times New Roman" w:hAnsi="Times New Roman" w:eastAsia="黑体"/>
                <w:b/>
                <w:sz w:val="28"/>
                <w:szCs w:val="28"/>
              </w:rPr>
            </w:pPr>
            <w:r>
              <w:rPr>
                <w:rFonts w:hint="eastAsia" w:ascii="Times New Roman" w:hAnsi="黑体" w:eastAsia="黑体"/>
                <w:b/>
                <w:sz w:val="28"/>
                <w:szCs w:val="28"/>
              </w:rPr>
              <w:t>专栏18</w:t>
            </w:r>
            <w:r>
              <w:rPr>
                <w:rFonts w:ascii="Times New Roman" w:hAnsi="黑体" w:eastAsia="黑体"/>
                <w:b/>
                <w:sz w:val="28"/>
                <w:szCs w:val="28"/>
              </w:rPr>
              <w:t>：“十四五”时期琼海市“气网”规划建设重点工程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8" w:type="dxa"/>
          </w:tcPr>
          <w:p>
            <w:pPr>
              <w:widowControl w:val="0"/>
              <w:spacing w:line="52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01.琼海市城镇燃气管网项目</w:t>
            </w:r>
          </w:p>
          <w:p>
            <w:pPr>
              <w:widowControl w:val="0"/>
              <w:spacing w:line="520" w:lineRule="exact"/>
              <w:ind w:firstLine="540" w:firstLineChars="193"/>
              <w:rPr>
                <w:rFonts w:ascii="仿宋_GB2312" w:hAnsi="仿宋_GB2312" w:eastAsia="仿宋_GB2312" w:cs="仿宋_GB2312"/>
                <w:sz w:val="28"/>
                <w:szCs w:val="28"/>
              </w:rPr>
            </w:pPr>
            <w:r>
              <w:rPr>
                <w:rFonts w:hint="eastAsia" w:ascii="仿宋_GB2312" w:hAnsi="仿宋_GB2312" w:eastAsia="仿宋_GB2312" w:cs="仿宋_GB2312"/>
                <w:sz w:val="28"/>
                <w:szCs w:val="28"/>
              </w:rPr>
              <w:t>建设城镇燃气管网62公里，琼海燃气电厂专用门站1座。</w:t>
            </w:r>
          </w:p>
          <w:p>
            <w:pPr>
              <w:widowControl w:val="0"/>
              <w:spacing w:line="52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w:t>
            </w:r>
            <w:r>
              <w:rPr>
                <w:rFonts w:hint="eastAsia" w:ascii="楷体_GB2312" w:hAnsi="楷体_GB2312" w:eastAsia="楷体_GB2312" w:cs="楷体_GB2312"/>
                <w:b/>
                <w:sz w:val="28"/>
                <w:szCs w:val="28"/>
              </w:rPr>
              <w:t>2</w:t>
            </w:r>
            <w:r>
              <w:rPr>
                <w:rFonts w:ascii="楷体_GB2312" w:hAnsi="楷体_GB2312" w:eastAsia="楷体_GB2312" w:cs="楷体_GB2312"/>
                <w:b/>
                <w:sz w:val="28"/>
                <w:szCs w:val="28"/>
              </w:rPr>
              <w:t>.琼海支线</w:t>
            </w:r>
          </w:p>
          <w:p>
            <w:pPr>
              <w:widowControl w:val="0"/>
              <w:spacing w:line="520" w:lineRule="exact"/>
              <w:ind w:firstLine="540" w:firstLineChars="193"/>
              <w:rPr>
                <w:rFonts w:ascii="仿宋_GB2312" w:hAnsi="仿宋_GB2312" w:eastAsia="仿宋_GB2312" w:cs="仿宋_GB2312"/>
                <w:sz w:val="28"/>
                <w:szCs w:val="28"/>
              </w:rPr>
            </w:pPr>
            <w:r>
              <w:rPr>
                <w:rFonts w:hint="eastAsia" w:ascii="仿宋_GB2312" w:hAnsi="仿宋_GB2312" w:eastAsia="仿宋_GB2312" w:cs="仿宋_GB2312"/>
                <w:sz w:val="28"/>
                <w:szCs w:val="28"/>
              </w:rPr>
              <w:t>起点为万宁支线琼海2#分输阀室，终点为琼海末站，线路位于琼海市范围内。设置1座站场和1座阀室，管道输送规模为0.2亿方/年。</w:t>
            </w:r>
          </w:p>
          <w:p>
            <w:pPr>
              <w:widowControl w:val="0"/>
              <w:spacing w:line="52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w:t>
            </w:r>
            <w:r>
              <w:rPr>
                <w:rFonts w:hint="eastAsia" w:ascii="楷体_GB2312" w:hAnsi="楷体_GB2312" w:eastAsia="楷体_GB2312" w:cs="楷体_GB2312"/>
                <w:b/>
                <w:sz w:val="28"/>
                <w:szCs w:val="28"/>
              </w:rPr>
              <w:t>3</w:t>
            </w:r>
            <w:r>
              <w:rPr>
                <w:rFonts w:ascii="楷体_GB2312" w:hAnsi="楷体_GB2312" w:eastAsia="楷体_GB2312" w:cs="楷体_GB2312"/>
                <w:b/>
                <w:sz w:val="28"/>
                <w:szCs w:val="28"/>
              </w:rPr>
              <w:t>.气代柴薪</w:t>
            </w:r>
          </w:p>
          <w:p>
            <w:pPr>
              <w:widowControl w:val="0"/>
              <w:spacing w:line="520" w:lineRule="exact"/>
              <w:ind w:firstLine="540" w:firstLineChars="193"/>
              <w:rPr>
                <w:rFonts w:ascii="仿宋" w:hAnsi="仿宋" w:eastAsia="仿宋" w:cs="仿宋"/>
                <w:sz w:val="28"/>
                <w:szCs w:val="28"/>
              </w:rPr>
            </w:pPr>
            <w:r>
              <w:rPr>
                <w:rFonts w:hint="eastAsia" w:ascii="仿宋_GB2312" w:hAnsi="仿宋_GB2312" w:eastAsia="仿宋_GB2312" w:cs="仿宋_GB2312"/>
                <w:sz w:val="28"/>
                <w:szCs w:val="28"/>
              </w:rPr>
              <w:t>积极推进燃气进村入户，争取引导全市所有农村群众不烧柴，用上清洁的天然气。</w:t>
            </w:r>
          </w:p>
        </w:tc>
      </w:tr>
    </w:tbl>
    <w:p>
      <w:pPr>
        <w:pStyle w:val="9"/>
        <w:widowControl w:val="0"/>
        <w:spacing w:line="560" w:lineRule="exact"/>
        <w:outlineLvl w:val="1"/>
        <w:rPr>
          <w:rFonts w:ascii="楷体" w:hAnsi="楷体" w:eastAsia="楷体"/>
        </w:rPr>
      </w:pPr>
      <w:bookmarkStart w:id="456" w:name="_Toc1376"/>
      <w:bookmarkStart w:id="457" w:name="_Toc7456"/>
      <w:bookmarkStart w:id="458" w:name="_Toc56346966"/>
      <w:bookmarkStart w:id="459" w:name="_Toc11883"/>
      <w:bookmarkStart w:id="460" w:name="_Toc19704"/>
      <w:bookmarkStart w:id="461" w:name="_Toc24085"/>
      <w:bookmarkStart w:id="462" w:name="_Toc26063"/>
      <w:bookmarkStart w:id="463" w:name="_Toc23417"/>
      <w:bookmarkStart w:id="464" w:name="_Toc4784"/>
      <w:bookmarkStart w:id="465" w:name="_Toc29306"/>
      <w:bookmarkStart w:id="466" w:name="_Toc381"/>
      <w:r>
        <w:rPr>
          <w:rFonts w:hint="eastAsia" w:ascii="楷体" w:hAnsi="楷体" w:eastAsia="楷体"/>
        </w:rPr>
        <w:t>第五节</w:t>
      </w:r>
      <w:r>
        <w:rPr>
          <w:rFonts w:ascii="楷体" w:hAnsi="楷体" w:eastAsia="楷体"/>
        </w:rPr>
        <w:t xml:space="preserve">  </w:t>
      </w:r>
      <w:bookmarkEnd w:id="456"/>
      <w:bookmarkEnd w:id="457"/>
      <w:bookmarkEnd w:id="458"/>
      <w:bookmarkEnd w:id="459"/>
      <w:bookmarkEnd w:id="460"/>
      <w:bookmarkEnd w:id="461"/>
      <w:bookmarkEnd w:id="462"/>
      <w:bookmarkEnd w:id="463"/>
      <w:bookmarkEnd w:id="464"/>
      <w:bookmarkEnd w:id="465"/>
      <w:bookmarkEnd w:id="466"/>
      <w:r>
        <w:rPr>
          <w:rFonts w:hint="eastAsia" w:ascii="楷体" w:hAnsi="楷体" w:eastAsia="楷体"/>
        </w:rPr>
        <w:t>构建泛在先进的信息网</w:t>
      </w:r>
    </w:p>
    <w:p>
      <w:pPr>
        <w:widowControl w:val="0"/>
        <w:spacing w:line="60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加快推进千兆光网普及和5G应用，全面提升信息基础设施支撑服务能力。率先谋划布局5G网络，建设5G网络先行试点区，全力推动智能网联汽车5G应用项目。推进移动网络升级演进项目，促进网络升级演进。深入建设光网琼海，不断完善光纤宽带网络布局。建设数字琼海，力争成为全省东西南北中五大数据中心之一。实施数字经济重点应用创新示范工程，在医疗、教育、交通、物流、金融、环保及时空信息应用领域开展大数据采集处理、分析挖掘和创新应用，提升各领域管理能力和决策水平。</w:t>
      </w:r>
    </w:p>
    <w:tbl>
      <w:tblPr>
        <w:tblStyle w:val="12"/>
        <w:tblW w:w="93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9300" w:type="dxa"/>
          </w:tcPr>
          <w:p>
            <w:pPr>
              <w:widowControl w:val="0"/>
              <w:spacing w:line="460" w:lineRule="exact"/>
              <w:jc w:val="center"/>
              <w:rPr>
                <w:rFonts w:ascii="Times New Roman" w:hAnsi="Times New Roman" w:eastAsia="黑体"/>
                <w:b/>
                <w:sz w:val="28"/>
                <w:szCs w:val="28"/>
              </w:rPr>
            </w:pPr>
            <w:r>
              <w:rPr>
                <w:rFonts w:hint="eastAsia" w:ascii="黑体" w:hAnsi="黑体" w:eastAsia="黑体"/>
                <w:b/>
                <w:sz w:val="28"/>
                <w:szCs w:val="28"/>
              </w:rPr>
              <w:t>专栏19</w:t>
            </w:r>
            <w:r>
              <w:rPr>
                <w:rFonts w:ascii="黑体" w:hAnsi="黑体" w:eastAsia="黑体"/>
                <w:b/>
                <w:sz w:val="28"/>
                <w:szCs w:val="28"/>
              </w:rPr>
              <w:t>：“十四五”时期琼海市“光网”规划建设重点工程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0" w:hRule="atLeast"/>
        </w:trPr>
        <w:tc>
          <w:tcPr>
            <w:tcW w:w="9300" w:type="dxa"/>
          </w:tcPr>
          <w:p>
            <w:pPr>
              <w:widowControl w:val="0"/>
              <w:spacing w:line="460" w:lineRule="exact"/>
              <w:ind w:firstLine="548" w:firstLineChars="195"/>
              <w:jc w:val="left"/>
              <w:rPr>
                <w:rFonts w:ascii="楷体_GB2312" w:hAnsi="楷体_GB2312" w:eastAsia="楷体_GB2312" w:cs="楷体_GB2312"/>
                <w:b/>
                <w:sz w:val="28"/>
                <w:szCs w:val="28"/>
              </w:rPr>
            </w:pPr>
            <w:r>
              <w:rPr>
                <w:rFonts w:ascii="楷体_GB2312" w:hAnsi="楷体_GB2312" w:eastAsia="楷体_GB2312" w:cs="楷体_GB2312"/>
                <w:b/>
                <w:sz w:val="28"/>
                <w:szCs w:val="28"/>
              </w:rPr>
              <w:t>01.海南5G网络建设项目琼海工程</w:t>
            </w:r>
          </w:p>
          <w:p>
            <w:pPr>
              <w:widowControl w:val="0"/>
              <w:spacing w:line="460" w:lineRule="exact"/>
              <w:ind w:firstLine="546" w:firstLineChars="195"/>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建设5G基站，配套承载网络、核心网和业务网，打造5G琼海。</w:t>
            </w:r>
          </w:p>
          <w:p>
            <w:pPr>
              <w:widowControl w:val="0"/>
              <w:spacing w:line="460" w:lineRule="exact"/>
              <w:ind w:firstLine="548" w:firstLineChars="195"/>
              <w:jc w:val="left"/>
              <w:rPr>
                <w:rFonts w:ascii="楷体_GB2312" w:hAnsi="楷体_GB2312" w:eastAsia="楷体_GB2312" w:cs="楷体_GB2312"/>
                <w:b/>
                <w:sz w:val="28"/>
                <w:szCs w:val="28"/>
              </w:rPr>
            </w:pPr>
            <w:r>
              <w:rPr>
                <w:rFonts w:ascii="楷体_GB2312" w:hAnsi="楷体_GB2312" w:eastAsia="楷体_GB2312" w:cs="楷体_GB2312"/>
                <w:b/>
                <w:sz w:val="28"/>
                <w:szCs w:val="28"/>
              </w:rPr>
              <w:t>02.信息基础设施建设巩固提升专项工程</w:t>
            </w:r>
          </w:p>
          <w:p>
            <w:pPr>
              <w:widowControl w:val="0"/>
              <w:spacing w:line="460" w:lineRule="exact"/>
              <w:ind w:firstLine="546" w:firstLineChars="195"/>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对全市城镇、乡村地区进行光网覆盖，对承载网进行改造，开展全省公共wifi网络、数字化项目，扩容CDN内容配套能力网络等信息基础设施建设。</w:t>
            </w:r>
          </w:p>
          <w:p>
            <w:pPr>
              <w:widowControl w:val="0"/>
              <w:spacing w:line="460" w:lineRule="exact"/>
              <w:ind w:firstLine="548" w:firstLineChars="195"/>
              <w:jc w:val="left"/>
              <w:rPr>
                <w:rFonts w:ascii="楷体_GB2312" w:hAnsi="楷体_GB2312" w:eastAsia="楷体_GB2312" w:cs="楷体_GB2312"/>
                <w:b/>
                <w:sz w:val="28"/>
                <w:szCs w:val="28"/>
              </w:rPr>
            </w:pPr>
            <w:r>
              <w:rPr>
                <w:rFonts w:ascii="楷体_GB2312" w:hAnsi="楷体_GB2312" w:eastAsia="楷体_GB2312" w:cs="楷体_GB2312"/>
                <w:b/>
                <w:sz w:val="28"/>
                <w:szCs w:val="28"/>
              </w:rPr>
              <w:t>0</w:t>
            </w:r>
            <w:r>
              <w:rPr>
                <w:rFonts w:hint="eastAsia" w:ascii="楷体_GB2312" w:hAnsi="楷体_GB2312" w:eastAsia="楷体_GB2312" w:cs="楷体_GB2312"/>
                <w:b/>
                <w:sz w:val="28"/>
                <w:szCs w:val="28"/>
              </w:rPr>
              <w:t>3</w:t>
            </w:r>
            <w:r>
              <w:rPr>
                <w:rFonts w:ascii="楷体_GB2312" w:hAnsi="楷体_GB2312" w:eastAsia="楷体_GB2312" w:cs="楷体_GB2312"/>
                <w:b/>
                <w:sz w:val="28"/>
                <w:szCs w:val="28"/>
              </w:rPr>
              <w:t>.4G深度覆盖信息基础设施建设</w:t>
            </w:r>
            <w:r>
              <w:rPr>
                <w:rFonts w:hint="eastAsia" w:ascii="楷体_GB2312" w:hAnsi="楷体_GB2312" w:eastAsia="楷体_GB2312" w:cs="楷体_GB2312"/>
                <w:b/>
                <w:sz w:val="28"/>
                <w:szCs w:val="28"/>
              </w:rPr>
              <w:t>工程</w:t>
            </w:r>
          </w:p>
          <w:p>
            <w:pPr>
              <w:widowControl w:val="0"/>
              <w:spacing w:line="460" w:lineRule="exact"/>
              <w:ind w:firstLine="546" w:firstLineChars="195"/>
              <w:jc w:val="left"/>
              <w:rPr>
                <w:rFonts w:ascii="仿宋" w:hAnsi="仿宋" w:eastAsia="仿宋" w:cs="仿宋"/>
                <w:sz w:val="28"/>
                <w:szCs w:val="28"/>
              </w:rPr>
            </w:pPr>
            <w:r>
              <w:rPr>
                <w:rFonts w:hint="eastAsia" w:ascii="仿宋" w:hAnsi="仿宋" w:eastAsia="仿宋" w:cs="仿宋"/>
                <w:sz w:val="28"/>
                <w:szCs w:val="28"/>
              </w:rPr>
              <w:t>对</w:t>
            </w:r>
            <w:r>
              <w:rPr>
                <w:rFonts w:ascii="仿宋" w:hAnsi="仿宋" w:eastAsia="仿宋" w:cs="仿宋"/>
                <w:sz w:val="28"/>
                <w:szCs w:val="28"/>
              </w:rPr>
              <w:t>4G站点</w:t>
            </w:r>
            <w:r>
              <w:rPr>
                <w:rFonts w:hint="eastAsia" w:ascii="仿宋" w:hAnsi="仿宋" w:eastAsia="仿宋" w:cs="仿宋"/>
                <w:sz w:val="28"/>
                <w:szCs w:val="28"/>
              </w:rPr>
              <w:t>进行改造升级，确保4G信号深度覆盖。</w:t>
            </w:r>
          </w:p>
          <w:p>
            <w:pPr>
              <w:widowControl w:val="0"/>
              <w:spacing w:line="460" w:lineRule="exact"/>
              <w:ind w:firstLine="548" w:firstLineChars="195"/>
              <w:jc w:val="left"/>
              <w:rPr>
                <w:rFonts w:ascii="楷体_GB2312" w:hAnsi="楷体_GB2312" w:eastAsia="楷体_GB2312" w:cs="楷体_GB2312"/>
                <w:b/>
                <w:sz w:val="28"/>
                <w:szCs w:val="28"/>
              </w:rPr>
            </w:pPr>
            <w:r>
              <w:rPr>
                <w:rFonts w:ascii="楷体_GB2312" w:hAnsi="楷体_GB2312" w:eastAsia="楷体_GB2312" w:cs="楷体_GB2312"/>
                <w:b/>
                <w:sz w:val="28"/>
                <w:szCs w:val="28"/>
              </w:rPr>
              <w:t>0</w:t>
            </w:r>
            <w:r>
              <w:rPr>
                <w:rFonts w:hint="eastAsia" w:ascii="楷体_GB2312" w:hAnsi="楷体_GB2312" w:eastAsia="楷体_GB2312" w:cs="楷体_GB2312"/>
                <w:b/>
                <w:sz w:val="28"/>
                <w:szCs w:val="28"/>
              </w:rPr>
              <w:t>4</w:t>
            </w:r>
            <w:r>
              <w:rPr>
                <w:rFonts w:ascii="楷体_GB2312" w:hAnsi="楷体_GB2312" w:eastAsia="楷体_GB2312" w:cs="楷体_GB2312"/>
                <w:b/>
                <w:sz w:val="28"/>
                <w:szCs w:val="28"/>
              </w:rPr>
              <w:t>.广播电视融合宽网网络提升及5G基础网络建设</w:t>
            </w:r>
            <w:r>
              <w:rPr>
                <w:rFonts w:hint="eastAsia" w:ascii="楷体_GB2312" w:hAnsi="楷体_GB2312" w:eastAsia="楷体_GB2312" w:cs="楷体_GB2312"/>
                <w:b/>
                <w:sz w:val="28"/>
                <w:szCs w:val="28"/>
              </w:rPr>
              <w:t>工程</w:t>
            </w:r>
          </w:p>
          <w:p>
            <w:pPr>
              <w:widowControl w:val="0"/>
              <w:spacing w:line="460" w:lineRule="exact"/>
              <w:ind w:firstLine="546" w:firstLineChars="195"/>
              <w:jc w:val="left"/>
              <w:rPr>
                <w:rFonts w:ascii="仿宋" w:hAnsi="仿宋" w:eastAsia="仿宋" w:cs="仿宋"/>
                <w:sz w:val="28"/>
                <w:szCs w:val="28"/>
              </w:rPr>
            </w:pPr>
            <w:r>
              <w:rPr>
                <w:rFonts w:hint="eastAsia" w:ascii="仿宋_GB2312" w:hAnsi="仿宋_GB2312" w:eastAsia="仿宋_GB2312" w:cs="仿宋_GB2312"/>
                <w:sz w:val="28"/>
                <w:szCs w:val="28"/>
              </w:rPr>
              <w:t>建设及改造光节点110个，建设光缆50公里，5G光缆网及传输网建设。</w:t>
            </w:r>
            <w:r>
              <w:rPr>
                <w:rFonts w:ascii="仿宋" w:hAnsi="仿宋" w:eastAsia="仿宋" w:cs="仿宋"/>
                <w:sz w:val="28"/>
                <w:szCs w:val="28"/>
              </w:rPr>
              <w:t xml:space="preserve">                                         </w:t>
            </w:r>
          </w:p>
        </w:tc>
      </w:tr>
      <w:bookmarkEnd w:id="341"/>
    </w:tbl>
    <w:p>
      <w:pPr>
        <w:pStyle w:val="9"/>
        <w:widowControl w:val="0"/>
        <w:rPr>
          <w:rFonts w:ascii="黑体" w:hAnsi="黑体" w:eastAsia="黑体" w:cs="黑体"/>
        </w:rPr>
      </w:pPr>
      <w:bookmarkStart w:id="467" w:name="_Toc20873"/>
      <w:bookmarkStart w:id="468" w:name="_Toc8824"/>
      <w:bookmarkStart w:id="469" w:name="_Toc29154"/>
      <w:bookmarkStart w:id="470" w:name="_Toc10921"/>
      <w:bookmarkStart w:id="471" w:name="_Toc2943"/>
      <w:bookmarkStart w:id="472" w:name="_Toc21385"/>
      <w:bookmarkStart w:id="473" w:name="_Toc417"/>
      <w:bookmarkStart w:id="474" w:name="_Toc373"/>
      <w:bookmarkStart w:id="475" w:name="_Toc12096"/>
      <w:r>
        <w:rPr>
          <w:rFonts w:hint="eastAsia" w:ascii="黑体" w:hAnsi="黑体" w:eastAsia="黑体" w:cs="黑体"/>
        </w:rPr>
        <w:t>第十章</w:t>
      </w:r>
      <w:r>
        <w:rPr>
          <w:rFonts w:ascii="黑体" w:hAnsi="黑体" w:eastAsia="黑体" w:cs="黑体"/>
        </w:rPr>
        <w:t xml:space="preserve"> </w:t>
      </w:r>
      <w:r>
        <w:rPr>
          <w:rFonts w:hint="eastAsia" w:ascii="黑体" w:hAnsi="黑体" w:eastAsia="黑体" w:cs="黑体"/>
        </w:rPr>
        <w:t>繁荣发展文化事业和文化产业</w:t>
      </w:r>
      <w:bookmarkEnd w:id="467"/>
      <w:bookmarkEnd w:id="468"/>
      <w:bookmarkEnd w:id="469"/>
      <w:bookmarkEnd w:id="470"/>
      <w:bookmarkEnd w:id="471"/>
      <w:bookmarkEnd w:id="472"/>
      <w:bookmarkEnd w:id="473"/>
      <w:bookmarkEnd w:id="474"/>
      <w:bookmarkEnd w:id="475"/>
    </w:p>
    <w:p>
      <w:pPr>
        <w:widowControl w:val="0"/>
        <w:spacing w:line="580" w:lineRule="exact"/>
        <w:ind w:firstLine="646"/>
        <w:rPr>
          <w:rFonts w:ascii="仿宋_GB2312" w:hAnsi="仿宋_GB2312" w:eastAsia="仿宋_GB2312" w:cs="仿宋_GB2312"/>
          <w:sz w:val="32"/>
          <w:szCs w:val="32"/>
        </w:rPr>
      </w:pPr>
      <w:bookmarkStart w:id="476" w:name="_Toc56346991"/>
      <w:bookmarkStart w:id="477" w:name="_Toc13234"/>
      <w:bookmarkStart w:id="478" w:name="_Toc9081"/>
      <w:bookmarkStart w:id="479" w:name="_Toc56346973"/>
      <w:r>
        <w:rPr>
          <w:rFonts w:hint="eastAsia" w:ascii="仿宋_GB2312" w:hAnsi="仿宋_GB2312" w:eastAsia="仿宋_GB2312" w:cs="仿宋_GB2312"/>
          <w:sz w:val="32"/>
          <w:szCs w:val="32"/>
        </w:rPr>
        <w:t>坚持以社会主义核心价值观引领文化建设，以满足全市人民群众文化需求为目标，完善现代公共文化服务体系和文化产业体系，构建更高水平的全民健身公共服务体系，推进文化强市建设。</w:t>
      </w:r>
    </w:p>
    <w:p>
      <w:pPr>
        <w:pStyle w:val="9"/>
        <w:widowControl w:val="0"/>
        <w:spacing w:line="560" w:lineRule="exact"/>
        <w:ind w:firstLine="648"/>
        <w:outlineLvl w:val="1"/>
        <w:rPr>
          <w:rFonts w:ascii="楷体" w:hAnsi="楷体" w:eastAsia="楷体" w:cs="楷体"/>
        </w:rPr>
      </w:pPr>
      <w:bookmarkStart w:id="480" w:name="_Toc10364"/>
      <w:bookmarkStart w:id="481" w:name="_Toc9029"/>
      <w:bookmarkStart w:id="482" w:name="_Toc16625"/>
      <w:bookmarkStart w:id="483" w:name="_Toc26306"/>
      <w:bookmarkStart w:id="484" w:name="_Toc10138"/>
      <w:bookmarkStart w:id="485" w:name="_Toc4198"/>
      <w:bookmarkStart w:id="486" w:name="_Toc19804"/>
      <w:r>
        <w:rPr>
          <w:rFonts w:hint="eastAsia" w:ascii="楷体" w:hAnsi="楷体" w:eastAsia="楷体" w:cs="楷体"/>
        </w:rPr>
        <w:t>第一节</w:t>
      </w:r>
      <w:r>
        <w:rPr>
          <w:rFonts w:ascii="楷体" w:hAnsi="楷体" w:eastAsia="楷体" w:cs="楷体"/>
        </w:rPr>
        <w:t xml:space="preserve">  </w:t>
      </w:r>
      <w:r>
        <w:rPr>
          <w:rFonts w:hint="eastAsia" w:ascii="楷体" w:hAnsi="楷体" w:eastAsia="楷体" w:cs="楷体"/>
        </w:rPr>
        <w:t>不断提升社会文明</w:t>
      </w:r>
      <w:bookmarkEnd w:id="480"/>
      <w:bookmarkEnd w:id="481"/>
      <w:bookmarkEnd w:id="482"/>
      <w:bookmarkEnd w:id="483"/>
      <w:bookmarkEnd w:id="484"/>
      <w:bookmarkEnd w:id="485"/>
      <w:bookmarkEnd w:id="486"/>
      <w:r>
        <w:rPr>
          <w:rFonts w:hint="eastAsia" w:ascii="楷体" w:hAnsi="楷体" w:eastAsia="楷体" w:cs="楷体"/>
        </w:rPr>
        <w:t>水平</w:t>
      </w:r>
    </w:p>
    <w:p>
      <w:pPr>
        <w:widowControl w:val="0"/>
        <w:spacing w:line="58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推动形成适应新时代要求的思想观念、精神面貌、文明风尚、行为规范。深入开展习近平新时代中国特色社会主义思想学习教育。推动理想信念教育常态化制度化，加强党史、新中国史、改革开放史、社会主义发展史教育，加强爱国主义、集体主义、社会主义教育，大力弘扬“敢闯敢试、敢为人先、埋头苦干”的特区精神和“解放思想、敢闯敢试、大胆创新”的自贸港精神。推进公民道德建设和诚信建设。深入开展社会文明大行动，巩固全国文明城市建设成果，深化“五大文明创建活动”，拓展新时代文明实践中心建设，推动文明创建制度化、常态化、长效化。提升文明生态村创建质量，深化乡风文明行动。提倡艰苦奋斗、勤俭节约，开展以劳动创造幸福为主体的宣传教育。深化“爱国家、爱海南、爱家乡、爱家庭”为主题的文明健康大行动。建立健全志愿服务体系，广泛开展志愿服务关爱活动。加强网络文明建设，发展积极健康的网络文化。广泛开展双拥共建活动，巩固发展“全国双拥模范城”创建成果。                                   </w:t>
      </w:r>
    </w:p>
    <w:p>
      <w:pPr>
        <w:pStyle w:val="9"/>
        <w:widowControl w:val="0"/>
        <w:spacing w:line="560" w:lineRule="exact"/>
        <w:ind w:firstLine="648"/>
        <w:outlineLvl w:val="1"/>
        <w:rPr>
          <w:rFonts w:ascii="楷体" w:hAnsi="楷体" w:eastAsia="楷体" w:cs="楷体"/>
        </w:rPr>
      </w:pPr>
      <w:bookmarkStart w:id="487" w:name="_Toc52"/>
      <w:bookmarkStart w:id="488" w:name="_Toc385"/>
      <w:bookmarkStart w:id="489" w:name="_Toc17932"/>
      <w:bookmarkStart w:id="490" w:name="_Toc28815"/>
      <w:bookmarkStart w:id="491" w:name="_Toc19411"/>
      <w:bookmarkStart w:id="492" w:name="_Toc12740"/>
      <w:bookmarkStart w:id="493" w:name="_Toc8301"/>
      <w:r>
        <w:rPr>
          <w:rFonts w:hint="eastAsia" w:ascii="楷体" w:hAnsi="楷体" w:eastAsia="楷体" w:cs="楷体"/>
        </w:rPr>
        <w:t>第二节</w:t>
      </w:r>
      <w:r>
        <w:rPr>
          <w:rFonts w:ascii="楷体" w:hAnsi="楷体" w:eastAsia="楷体" w:cs="楷体"/>
        </w:rPr>
        <w:t xml:space="preserve">  </w:t>
      </w:r>
      <w:bookmarkEnd w:id="487"/>
      <w:bookmarkEnd w:id="488"/>
      <w:bookmarkEnd w:id="489"/>
      <w:bookmarkEnd w:id="490"/>
      <w:bookmarkEnd w:id="491"/>
      <w:bookmarkEnd w:id="492"/>
      <w:bookmarkEnd w:id="493"/>
      <w:r>
        <w:rPr>
          <w:rFonts w:hint="eastAsia" w:ascii="楷体" w:hAnsi="楷体" w:eastAsia="楷体" w:cs="楷体"/>
        </w:rPr>
        <w:t>构建现代公共文化服务体系</w:t>
      </w:r>
    </w:p>
    <w:p>
      <w:pPr>
        <w:pStyle w:val="9"/>
        <w:widowControl w:val="0"/>
        <w:spacing w:line="560" w:lineRule="exact"/>
        <w:ind w:firstLine="648"/>
        <w:jc w:val="left"/>
        <w:rPr>
          <w:rFonts w:ascii="楷体" w:hAnsi="楷体" w:eastAsia="楷体" w:cs="楷体"/>
        </w:rPr>
      </w:pPr>
      <w:bookmarkStart w:id="494" w:name="_Toc6047"/>
      <w:bookmarkStart w:id="495" w:name="_Toc27733"/>
      <w:bookmarkStart w:id="496" w:name="_Toc22527"/>
      <w:bookmarkStart w:id="497" w:name="_Toc18707"/>
      <w:bookmarkStart w:id="498" w:name="_Toc18259"/>
      <w:bookmarkStart w:id="499" w:name="_Toc10454"/>
      <w:bookmarkStart w:id="500" w:name="_Toc26493"/>
      <w:r>
        <w:rPr>
          <w:rFonts w:hint="eastAsia" w:ascii="仿宋_GB2312" w:hAnsi="仿宋_GB2312" w:eastAsia="仿宋_GB2312" w:cs="仿宋_GB2312"/>
          <w:b w:val="0"/>
          <w:bCs/>
        </w:rPr>
        <w:t>围绕群众基本文化权益，提升全市公共文化设施建设、管理和服务水平。通过票价补贴、剧场运营补贴等方式，支持艺术表演团体提供公益性演出。加快推进全市公共文化服务数字化建设，提升公共文化服务传播水平。传承弘扬传统文化、挖掘乡土文化，加强琼剧、传统民俗、更路薄、苗绣等文化和传统手工艺保护和传承。加强文艺作品创作，推出一批反映琼海时代风貌、讴歌人民新创造的现实题材文艺精品。完善镇（区）、村（社区）基层综合性文化服务中心功能。强化体育基础设施建设，全面推进全民健身行动。建强用好融媒体中心，引导新型媒体规范发展，发</w:t>
      </w:r>
      <w:r>
        <w:rPr>
          <w:rFonts w:hint="eastAsia" w:ascii="仿宋_GB2312" w:hAnsi="仿宋_GB2312" w:eastAsia="仿宋_GB2312" w:cs="仿宋_GB2312"/>
          <w:b w:val="0"/>
          <w:bCs/>
          <w:spacing w:val="-6"/>
        </w:rPr>
        <w:t>好琼海声音，讲好琼海故事。依托市文化体育中心有力载体，组织开展各类文化演出、体育赛事，广泛开展文化输出和文化交流活动，不断扩大海南东部中心城市的文化影响力，满足人民群众对于高雅艺术、国际文化艺术的需求。到</w:t>
      </w:r>
      <w:r>
        <w:rPr>
          <w:rFonts w:ascii="仿宋_GB2312" w:hAnsi="仿宋_GB2312" w:eastAsia="仿宋_GB2312" w:cs="仿宋_GB2312"/>
          <w:b w:val="0"/>
          <w:bCs/>
          <w:spacing w:val="-6"/>
        </w:rPr>
        <w:t>2025年，建成较高水平的覆盖城乡、便捷高效、保基本、促公平的现代公共文化服务体系。</w:t>
      </w:r>
      <w:bookmarkEnd w:id="494"/>
      <w:bookmarkEnd w:id="495"/>
      <w:bookmarkEnd w:id="496"/>
      <w:bookmarkStart w:id="501" w:name="_Toc27046"/>
      <w:bookmarkStart w:id="502" w:name="_Toc16879"/>
      <w:bookmarkStart w:id="503" w:name="_Toc13773"/>
    </w:p>
    <w:p>
      <w:pPr>
        <w:pStyle w:val="9"/>
        <w:widowControl w:val="0"/>
        <w:spacing w:line="560" w:lineRule="exact"/>
        <w:ind w:firstLine="648"/>
        <w:rPr>
          <w:rFonts w:ascii="楷体" w:hAnsi="楷体" w:eastAsia="楷体" w:cs="楷体"/>
        </w:rPr>
      </w:pPr>
      <w:r>
        <w:rPr>
          <w:rFonts w:hint="eastAsia" w:ascii="楷体" w:hAnsi="楷体" w:eastAsia="楷体" w:cs="楷体"/>
        </w:rPr>
        <w:t>第三节</w:t>
      </w:r>
      <w:r>
        <w:rPr>
          <w:rFonts w:ascii="楷体" w:hAnsi="楷体" w:eastAsia="楷体" w:cs="楷体"/>
        </w:rPr>
        <w:t xml:space="preserve">  </w:t>
      </w:r>
      <w:bookmarkEnd w:id="497"/>
      <w:bookmarkEnd w:id="498"/>
      <w:bookmarkEnd w:id="499"/>
      <w:bookmarkEnd w:id="500"/>
      <w:bookmarkEnd w:id="501"/>
      <w:bookmarkEnd w:id="502"/>
      <w:bookmarkEnd w:id="503"/>
      <w:r>
        <w:rPr>
          <w:rFonts w:hint="eastAsia" w:ascii="楷体" w:hAnsi="楷体" w:eastAsia="楷体" w:cs="楷体"/>
        </w:rPr>
        <w:t>推动文化产业繁荣发展</w:t>
      </w:r>
    </w:p>
    <w:p>
      <w:pPr>
        <w:widowControl w:val="0"/>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以满足市民多样化、高品位文化需求为目标，着力推动文化体育事业蓬勃发展。加强文化市场体系建设，积极发展新型文化企业，扩大优质文化产品供给，培育文化新业态。推动文化和旅游深度融合，依托红色文化、侨乡文化、南海文化，发展红色旅游、乡村旅游、滨海旅游，打造彰显琼海特色的旅游文化产品。开发“会展旅游+”文化产品，发展“会展旅游+”文化体验等主题活动。挖掘地域文化，支持琼海市琼剧团建设，推动传统文化产业发展，打造高品质文化旅游演艺产品。推动文化旅游演艺进景区、进城镇、进乡村。结合十二个镇的资源禀赋，统筹策划“一镇一特色、一镇一品牌、一镇一月份”的琼海节庆活动年，积极举办多样化节庆文化娱乐活动。建设与完善公共文化娱乐设施，形成文化娱乐集聚区，带动文化沙龙、深夜影院、驻场演出、音乐俱乐部等时尚文化业态发展。支持动漫游戏、电子竞技等数字文化产业发展。促进群众体育、竞技体育、体育产业协调发展。推动定期定址举办市级、省级、国家级体育赛事。以中国（海南）南海博物馆和国家文化遗产保护中心南海基地为基础，推进建设博物馆群落，发展艺术品保税展示交易。</w:t>
      </w:r>
      <w:r>
        <w:rPr>
          <w:rFonts w:ascii="仿宋_GB2312" w:hAnsi="仿宋_GB2312" w:eastAsia="仿宋_GB2312" w:cs="仿宋_GB2312"/>
          <w:sz w:val="32"/>
          <w:szCs w:val="32"/>
        </w:rPr>
        <w:t>积极推进中国武术之乡的申报建设工作。推动国家体育总局潜水运动、航海</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航空等运动学校分校落户博鳌、潭门等地。</w:t>
      </w:r>
    </w:p>
    <w:p>
      <w:pPr>
        <w:widowControl w:val="0"/>
        <w:spacing w:line="580" w:lineRule="exact"/>
        <w:jc w:val="center"/>
        <w:rPr>
          <w:rFonts w:ascii="楷体" w:hAnsi="楷体" w:eastAsia="楷体" w:cs="楷体"/>
          <w:b/>
          <w:color w:val="FF0000"/>
          <w:sz w:val="32"/>
          <w:szCs w:val="32"/>
        </w:rPr>
      </w:pPr>
      <w:r>
        <w:rPr>
          <w:rFonts w:hint="eastAsia" w:ascii="楷体" w:hAnsi="楷体" w:eastAsia="楷体" w:cs="楷体"/>
          <w:b/>
          <w:color w:val="FF0000"/>
          <w:sz w:val="32"/>
          <w:szCs w:val="32"/>
        </w:rPr>
        <w:t>第四节  加强国际文化交流</w:t>
      </w:r>
    </w:p>
    <w:p>
      <w:pPr>
        <w:widowControl w:val="0"/>
        <w:spacing w:line="580" w:lineRule="exact"/>
        <w:ind w:firstLine="646"/>
        <w:rPr>
          <w:rFonts w:ascii="仿宋_GB2312" w:eastAsia="仿宋_GB2312"/>
          <w:color w:val="FF0000"/>
          <w:sz w:val="32"/>
          <w:szCs w:val="32"/>
        </w:rPr>
      </w:pPr>
      <w:r>
        <w:rPr>
          <w:rFonts w:hint="eastAsia" w:ascii="仿宋_GB2312" w:eastAsia="仿宋_GB2312"/>
          <w:color w:val="FF0000"/>
          <w:sz w:val="32"/>
          <w:szCs w:val="32"/>
        </w:rPr>
        <w:t>扩大“博鳌亚洲论坛”文化影响力，积极酝酿系列重要论坛，加大与重要智库合作，推动国内外重要智库成果发布，将博鳌打造成为“中国声音、中国故事、中国经验”的发布地，提升文化传播力。探索文化领域继续扩大对外开放，打造博鳌艺术节，加强中国文化与世界各国文化交流，建成彰显中国文化自信的交流平台。鼓励中国的文化企业走出去，推动演艺、外资文物拍卖等文化领域的开放。加快医疗、会展和农业产业职业教育国际合作，利用海南现有的高校及培训机构，加强与国际机构合作，承接“一带一路”国家学生交流、访问，全方位拓展人文交往。整合华侨华人网络资源，推动沿线各国的华侨华人社团建立常态化联系沟通机制，发挥华侨华人的力量，深化国际间政府合作，增设友好城市，组建城市联盟，构建多领域文化交流机制。鼓励本市企业参加境外展会和文化活动，在境外开展项目推介、产品展销、投资合作。</w:t>
      </w:r>
    </w:p>
    <w:bookmarkEnd w:id="476"/>
    <w:bookmarkEnd w:id="477"/>
    <w:tbl>
      <w:tblPr>
        <w:tblStyle w:val="1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288" w:type="dxa"/>
          </w:tcPr>
          <w:p>
            <w:pPr>
              <w:widowControl w:val="0"/>
              <w:spacing w:line="460" w:lineRule="exact"/>
              <w:jc w:val="center"/>
              <w:rPr>
                <w:rFonts w:ascii="Times New Roman" w:hAnsi="Times New Roman" w:eastAsia="黑体"/>
                <w:b/>
                <w:color w:val="FF0000"/>
                <w:sz w:val="28"/>
                <w:szCs w:val="28"/>
              </w:rPr>
            </w:pPr>
            <w:r>
              <w:rPr>
                <w:rFonts w:hint="eastAsia" w:ascii="黑体" w:hAnsi="黑体" w:eastAsia="黑体"/>
                <w:b/>
                <w:color w:val="FF0000"/>
                <w:sz w:val="28"/>
                <w:szCs w:val="28"/>
              </w:rPr>
              <w:t>专栏20</w:t>
            </w:r>
            <w:r>
              <w:rPr>
                <w:rFonts w:ascii="黑体" w:hAnsi="黑体" w:eastAsia="黑体"/>
                <w:b/>
                <w:color w:val="FF0000"/>
                <w:sz w:val="28"/>
                <w:szCs w:val="28"/>
              </w:rPr>
              <w:t>：“十四五”时期琼海市文化体育重点工程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8" w:type="dxa"/>
          </w:tcPr>
          <w:p>
            <w:pPr>
              <w:widowControl w:val="0"/>
              <w:spacing w:line="520" w:lineRule="exact"/>
              <w:ind w:firstLine="542" w:firstLineChars="193"/>
              <w:rPr>
                <w:rFonts w:ascii="楷体_GB2312" w:hAnsi="楷体_GB2312" w:eastAsia="楷体_GB2312" w:cs="楷体_GB2312"/>
                <w:b/>
                <w:color w:val="FF0000"/>
                <w:sz w:val="28"/>
                <w:szCs w:val="28"/>
              </w:rPr>
            </w:pPr>
            <w:r>
              <w:rPr>
                <w:rFonts w:ascii="楷体_GB2312" w:hAnsi="楷体_GB2312" w:eastAsia="楷体_GB2312" w:cs="楷体_GB2312"/>
                <w:b/>
                <w:color w:val="FF0000"/>
                <w:sz w:val="28"/>
                <w:szCs w:val="28"/>
              </w:rPr>
              <w:t>01.琼海市文化体育中心区域内建设项目</w:t>
            </w:r>
            <w:r>
              <w:rPr>
                <w:rFonts w:hint="eastAsia" w:ascii="楷体_GB2312" w:hAnsi="楷体_GB2312" w:eastAsia="楷体_GB2312" w:cs="楷体_GB2312"/>
                <w:b/>
                <w:color w:val="FF0000"/>
                <w:sz w:val="28"/>
                <w:szCs w:val="28"/>
              </w:rPr>
              <w:t>——</w:t>
            </w:r>
            <w:r>
              <w:rPr>
                <w:rFonts w:ascii="楷体_GB2312" w:hAnsi="楷体_GB2312" w:eastAsia="楷体_GB2312" w:cs="楷体_GB2312"/>
                <w:b/>
                <w:color w:val="FF0000"/>
                <w:sz w:val="28"/>
                <w:szCs w:val="28"/>
              </w:rPr>
              <w:t>文体板块一期</w:t>
            </w:r>
          </w:p>
          <w:p>
            <w:pPr>
              <w:widowControl w:val="0"/>
              <w:spacing w:line="520" w:lineRule="exact"/>
              <w:ind w:firstLine="540" w:firstLineChars="193"/>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新建体育场、体育馆、大剧院各一座。</w:t>
            </w:r>
          </w:p>
          <w:p>
            <w:pPr>
              <w:widowControl w:val="0"/>
              <w:spacing w:line="520" w:lineRule="exact"/>
              <w:ind w:firstLine="542" w:firstLineChars="193"/>
              <w:rPr>
                <w:rFonts w:ascii="楷体_GB2312" w:hAnsi="楷体_GB2312" w:eastAsia="楷体_GB2312" w:cs="楷体_GB2312"/>
                <w:b/>
                <w:color w:val="FF0000"/>
                <w:sz w:val="28"/>
                <w:szCs w:val="28"/>
              </w:rPr>
            </w:pPr>
            <w:r>
              <w:rPr>
                <w:rFonts w:ascii="楷体_GB2312" w:hAnsi="楷体_GB2312" w:eastAsia="楷体_GB2312" w:cs="楷体_GB2312"/>
                <w:b/>
                <w:color w:val="FF0000"/>
                <w:sz w:val="28"/>
                <w:szCs w:val="28"/>
              </w:rPr>
              <w:t>02.琼海市文化体育中心区域内建设项目</w:t>
            </w:r>
            <w:r>
              <w:rPr>
                <w:rFonts w:hint="eastAsia" w:ascii="楷体_GB2312" w:hAnsi="楷体_GB2312" w:eastAsia="楷体_GB2312" w:cs="楷体_GB2312"/>
                <w:b/>
                <w:color w:val="FF0000"/>
                <w:sz w:val="28"/>
                <w:szCs w:val="28"/>
              </w:rPr>
              <w:t>——</w:t>
            </w:r>
            <w:r>
              <w:rPr>
                <w:rFonts w:ascii="楷体_GB2312" w:hAnsi="楷体_GB2312" w:eastAsia="楷体_GB2312" w:cs="楷体_GB2312"/>
                <w:b/>
                <w:color w:val="FF0000"/>
                <w:sz w:val="28"/>
                <w:szCs w:val="28"/>
              </w:rPr>
              <w:t>文体板块二期</w:t>
            </w:r>
          </w:p>
          <w:p>
            <w:pPr>
              <w:widowControl w:val="0"/>
              <w:spacing w:line="520" w:lineRule="exact"/>
              <w:ind w:firstLine="540" w:firstLineChars="193"/>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新建游泳馆、博物馆、文化馆、图书馆各一座。</w:t>
            </w:r>
          </w:p>
          <w:p>
            <w:pPr>
              <w:widowControl w:val="0"/>
              <w:spacing w:line="520" w:lineRule="exact"/>
              <w:ind w:firstLine="542" w:firstLineChars="193"/>
              <w:rPr>
                <w:rFonts w:ascii="楷体_GB2312" w:hAnsi="楷体_GB2312" w:eastAsia="楷体_GB2312" w:cs="楷体_GB2312"/>
                <w:b/>
                <w:color w:val="FF0000"/>
                <w:sz w:val="28"/>
                <w:szCs w:val="28"/>
              </w:rPr>
            </w:pPr>
            <w:r>
              <w:rPr>
                <w:rFonts w:ascii="楷体_GB2312" w:hAnsi="楷体_GB2312" w:eastAsia="楷体_GB2312" w:cs="楷体_GB2312"/>
                <w:b/>
                <w:color w:val="FF0000"/>
                <w:sz w:val="28"/>
                <w:szCs w:val="28"/>
              </w:rPr>
              <w:t>03.文化体育中心</w:t>
            </w:r>
            <w:r>
              <w:rPr>
                <w:rFonts w:hint="eastAsia" w:ascii="楷体_GB2312" w:hAnsi="楷体_GB2312" w:eastAsia="楷体_GB2312" w:cs="楷体_GB2312"/>
                <w:b/>
                <w:color w:val="FF0000"/>
                <w:sz w:val="28"/>
                <w:szCs w:val="28"/>
              </w:rPr>
              <w:t>——</w:t>
            </w:r>
            <w:r>
              <w:rPr>
                <w:rFonts w:ascii="楷体_GB2312" w:hAnsi="楷体_GB2312" w:eastAsia="楷体_GB2312" w:cs="楷体_GB2312"/>
                <w:b/>
                <w:color w:val="FF0000"/>
                <w:sz w:val="28"/>
                <w:szCs w:val="28"/>
              </w:rPr>
              <w:t>五网基础设施板块</w:t>
            </w:r>
          </w:p>
          <w:p>
            <w:pPr>
              <w:widowControl w:val="0"/>
              <w:spacing w:line="52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新建一条宽30-34米、长958米的道路，包括地下通道240米。</w:t>
            </w:r>
          </w:p>
          <w:p>
            <w:pPr>
              <w:pStyle w:val="15"/>
              <w:widowControl w:val="0"/>
              <w:spacing w:line="520" w:lineRule="exact"/>
              <w:jc w:val="both"/>
              <w:rPr>
                <w:rFonts w:ascii="楷体" w:hAnsi="楷体" w:eastAsia="楷体" w:cs="楷体"/>
                <w:b/>
                <w:bCs/>
                <w:color w:val="FF0000"/>
                <w:sz w:val="28"/>
                <w:szCs w:val="28"/>
              </w:rPr>
            </w:pPr>
            <w:r>
              <w:rPr>
                <w:rFonts w:ascii="仿宋" w:hAnsi="仿宋" w:eastAsia="仿宋" w:cs="仿宋"/>
                <w:color w:val="FF0000"/>
                <w:sz w:val="28"/>
                <w:szCs w:val="28"/>
              </w:rPr>
              <w:t xml:space="preserve">    </w:t>
            </w:r>
            <w:r>
              <w:rPr>
                <w:rFonts w:ascii="楷体" w:hAnsi="楷体" w:eastAsia="楷体" w:cs="楷体"/>
                <w:b/>
                <w:bCs/>
                <w:color w:val="FF0000"/>
                <w:sz w:val="28"/>
                <w:szCs w:val="28"/>
              </w:rPr>
              <w:t>04.</w:t>
            </w:r>
            <w:r>
              <w:rPr>
                <w:rFonts w:hint="eastAsia" w:ascii="楷体" w:hAnsi="楷体" w:eastAsia="楷体" w:cs="楷体"/>
                <w:b/>
                <w:bCs/>
                <w:color w:val="FF0000"/>
                <w:sz w:val="28"/>
                <w:szCs w:val="28"/>
              </w:rPr>
              <w:t>市博物馆提升改建工程</w:t>
            </w:r>
          </w:p>
          <w:p>
            <w:pPr>
              <w:pStyle w:val="15"/>
              <w:widowControl w:val="0"/>
              <w:spacing w:line="520" w:lineRule="exact"/>
              <w:rPr>
                <w:rFonts w:ascii="仿宋_GB2312" w:hAnsi="仿宋_GB2312" w:eastAsia="仿宋_GB2312" w:cs="仿宋_GB2312"/>
                <w:color w:val="FF0000"/>
                <w:sz w:val="28"/>
                <w:szCs w:val="28"/>
              </w:rPr>
            </w:pPr>
            <w:r>
              <w:rPr>
                <w:rFonts w:ascii="仿宋" w:hAnsi="仿宋" w:eastAsia="仿宋" w:cs="仿宋"/>
                <w:color w:val="FF0000"/>
                <w:sz w:val="28"/>
                <w:szCs w:val="28"/>
              </w:rPr>
              <w:t xml:space="preserve">   </w:t>
            </w:r>
            <w:r>
              <w:rPr>
                <w:rFonts w:hint="eastAsia" w:ascii="仿宋" w:hAnsi="仿宋" w:eastAsia="仿宋" w:cs="仿宋"/>
                <w:color w:val="FF0000"/>
                <w:sz w:val="28"/>
                <w:szCs w:val="28"/>
              </w:rPr>
              <w:t xml:space="preserve"> </w:t>
            </w:r>
            <w:r>
              <w:rPr>
                <w:rFonts w:hint="eastAsia" w:ascii="仿宋_GB2312" w:hAnsi="仿宋_GB2312" w:eastAsia="仿宋_GB2312" w:cs="仿宋_GB2312"/>
                <w:color w:val="FF0000"/>
                <w:sz w:val="28"/>
                <w:szCs w:val="28"/>
              </w:rPr>
              <w:t>对博物馆进行升级改造，包括智慧化改造及周士第将军纪念馆升级改造等。</w:t>
            </w:r>
          </w:p>
          <w:p>
            <w:pPr>
              <w:widowControl w:val="0"/>
              <w:spacing w:line="520" w:lineRule="exact"/>
              <w:ind w:firstLine="542" w:firstLineChars="193"/>
              <w:rPr>
                <w:rFonts w:ascii="楷体_GB2312" w:hAnsi="楷体_GB2312" w:eastAsia="楷体_GB2312" w:cs="楷体_GB2312"/>
                <w:b/>
                <w:color w:val="FF0000"/>
                <w:sz w:val="28"/>
                <w:szCs w:val="28"/>
              </w:rPr>
            </w:pPr>
            <w:r>
              <w:rPr>
                <w:rFonts w:ascii="楷体_GB2312" w:hAnsi="楷体_GB2312" w:eastAsia="楷体_GB2312" w:cs="楷体_GB2312"/>
                <w:b/>
                <w:color w:val="FF0000"/>
                <w:sz w:val="28"/>
                <w:szCs w:val="28"/>
              </w:rPr>
              <w:t>0</w:t>
            </w:r>
            <w:r>
              <w:rPr>
                <w:rFonts w:hint="eastAsia" w:ascii="楷体_GB2312" w:hAnsi="楷体_GB2312" w:eastAsia="楷体_GB2312" w:cs="楷体_GB2312"/>
                <w:b/>
                <w:color w:val="FF0000"/>
                <w:sz w:val="28"/>
                <w:szCs w:val="28"/>
              </w:rPr>
              <w:t>5</w:t>
            </w:r>
            <w:r>
              <w:rPr>
                <w:rFonts w:ascii="楷体_GB2312" w:hAnsi="楷体_GB2312" w:eastAsia="楷体_GB2312" w:cs="楷体_GB2312"/>
                <w:b/>
                <w:color w:val="FF0000"/>
                <w:sz w:val="28"/>
                <w:szCs w:val="28"/>
              </w:rPr>
              <w:t>.</w:t>
            </w:r>
            <w:r>
              <w:rPr>
                <w:rFonts w:hint="eastAsia" w:ascii="楷体_GB2312" w:hAnsi="楷体_GB2312" w:eastAsia="楷体_GB2312" w:cs="楷体_GB2312"/>
                <w:b/>
                <w:color w:val="FF0000"/>
                <w:sz w:val="28"/>
                <w:szCs w:val="28"/>
              </w:rPr>
              <w:t>综合性国家体育水上集训基地（南方中心）和赛事中心</w:t>
            </w:r>
          </w:p>
          <w:p>
            <w:pPr>
              <w:widowControl w:val="0"/>
              <w:spacing w:line="520" w:lineRule="exact"/>
              <w:ind w:firstLine="540" w:firstLineChars="193"/>
              <w:rPr>
                <w:rFonts w:ascii="仿宋_GB2312" w:hAnsi="仿宋_GB2312" w:eastAsia="仿宋_GB2312" w:cs="仿宋_GB2312"/>
                <w:b/>
                <w:color w:val="FF0000"/>
                <w:sz w:val="28"/>
                <w:szCs w:val="28"/>
              </w:rPr>
            </w:pPr>
            <w:r>
              <w:rPr>
                <w:rFonts w:hint="eastAsia" w:ascii="仿宋_GB2312" w:hAnsi="仿宋_GB2312" w:eastAsia="仿宋_GB2312" w:cs="仿宋_GB2312"/>
                <w:color w:val="FF0000"/>
                <w:sz w:val="28"/>
                <w:szCs w:val="28"/>
              </w:rPr>
              <w:t>建设综合性国家体育水上集训基地（南方中心）和赛事中心，承接国家队的水上赛事训练和举办国内外水上项目赛事。</w:t>
            </w:r>
          </w:p>
          <w:p>
            <w:pPr>
              <w:widowControl w:val="0"/>
              <w:spacing w:line="520" w:lineRule="exact"/>
              <w:ind w:firstLine="542" w:firstLineChars="193"/>
              <w:rPr>
                <w:rFonts w:ascii="楷体_GB2312" w:hAnsi="楷体_GB2312" w:eastAsia="楷体_GB2312" w:cs="楷体_GB2312"/>
                <w:b/>
                <w:color w:val="FF0000"/>
                <w:sz w:val="28"/>
                <w:szCs w:val="28"/>
              </w:rPr>
            </w:pPr>
            <w:r>
              <w:rPr>
                <w:rFonts w:ascii="楷体_GB2312" w:hAnsi="楷体_GB2312" w:eastAsia="楷体_GB2312" w:cs="楷体_GB2312"/>
                <w:b/>
                <w:color w:val="FF0000"/>
                <w:sz w:val="28"/>
                <w:szCs w:val="28"/>
              </w:rPr>
              <w:t>0</w:t>
            </w:r>
            <w:r>
              <w:rPr>
                <w:rFonts w:hint="eastAsia" w:ascii="楷体_GB2312" w:hAnsi="楷体_GB2312" w:eastAsia="楷体_GB2312" w:cs="楷体_GB2312"/>
                <w:b/>
                <w:color w:val="FF0000"/>
                <w:sz w:val="28"/>
                <w:szCs w:val="28"/>
              </w:rPr>
              <w:t>6</w:t>
            </w:r>
            <w:r>
              <w:rPr>
                <w:rFonts w:ascii="楷体_GB2312" w:hAnsi="楷体_GB2312" w:eastAsia="楷体_GB2312" w:cs="楷体_GB2312"/>
                <w:b/>
                <w:color w:val="FF0000"/>
                <w:sz w:val="28"/>
                <w:szCs w:val="28"/>
              </w:rPr>
              <w:t>.特色文化乡村</w:t>
            </w:r>
            <w:r>
              <w:rPr>
                <w:rFonts w:hint="eastAsia" w:ascii="楷体_GB2312" w:hAnsi="楷体_GB2312" w:eastAsia="楷体_GB2312" w:cs="楷体_GB2312"/>
                <w:b/>
                <w:color w:val="FF0000"/>
                <w:sz w:val="28"/>
                <w:szCs w:val="28"/>
              </w:rPr>
              <w:t>建设工程</w:t>
            </w:r>
          </w:p>
          <w:p>
            <w:pPr>
              <w:widowControl w:val="0"/>
              <w:spacing w:line="520" w:lineRule="exact"/>
              <w:ind w:firstLine="540" w:firstLineChars="193"/>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打造博鳌会展和医疗文化、潭门海洋文化、大路农耕文化、中原南洋文化、塔洋古邑文化、阳江红色文化、会山黎苗文化、彬村山华侨文化等一批特色文化乡村。</w:t>
            </w:r>
          </w:p>
          <w:p>
            <w:pPr>
              <w:widowControl w:val="0"/>
              <w:spacing w:line="520" w:lineRule="exact"/>
              <w:ind w:firstLine="542" w:firstLineChars="193"/>
              <w:rPr>
                <w:rFonts w:ascii="楷体_GB2312" w:hAnsi="楷体_GB2312" w:eastAsia="楷体_GB2312" w:cs="楷体_GB2312"/>
                <w:b/>
                <w:color w:val="FF0000"/>
                <w:sz w:val="28"/>
                <w:szCs w:val="28"/>
              </w:rPr>
            </w:pPr>
            <w:r>
              <w:rPr>
                <w:rFonts w:ascii="楷体_GB2312" w:hAnsi="楷体_GB2312" w:eastAsia="楷体_GB2312" w:cs="楷体_GB2312"/>
                <w:b/>
                <w:color w:val="FF0000"/>
                <w:sz w:val="28"/>
                <w:szCs w:val="28"/>
              </w:rPr>
              <w:t>0</w:t>
            </w:r>
            <w:r>
              <w:rPr>
                <w:rFonts w:hint="eastAsia" w:ascii="楷体_GB2312" w:hAnsi="楷体_GB2312" w:eastAsia="楷体_GB2312" w:cs="楷体_GB2312"/>
                <w:b/>
                <w:color w:val="FF0000"/>
                <w:sz w:val="28"/>
                <w:szCs w:val="28"/>
              </w:rPr>
              <w:t>7</w:t>
            </w:r>
            <w:r>
              <w:rPr>
                <w:rFonts w:ascii="楷体_GB2312" w:hAnsi="楷体_GB2312" w:eastAsia="楷体_GB2312" w:cs="楷体_GB2312"/>
                <w:b/>
                <w:color w:val="FF0000"/>
                <w:sz w:val="28"/>
                <w:szCs w:val="28"/>
              </w:rPr>
              <w:t>.运动休闲特色小镇</w:t>
            </w:r>
          </w:p>
          <w:p>
            <w:pPr>
              <w:widowControl w:val="0"/>
              <w:spacing w:line="520" w:lineRule="exact"/>
              <w:ind w:firstLine="560" w:firstLineChars="200"/>
              <w:rPr>
                <w:rFonts w:ascii="楷体_GB2312" w:hAnsi="楷体_GB2312" w:eastAsia="楷体_GB2312" w:cs="楷体_GB2312"/>
                <w:b/>
                <w:color w:val="FF0000"/>
                <w:sz w:val="28"/>
                <w:szCs w:val="28"/>
              </w:rPr>
            </w:pPr>
            <w:r>
              <w:rPr>
                <w:rFonts w:hint="eastAsia" w:ascii="仿宋_GB2312" w:hAnsi="仿宋_GB2312" w:eastAsia="仿宋_GB2312" w:cs="仿宋_GB2312"/>
                <w:color w:val="FF0000"/>
                <w:sz w:val="28"/>
                <w:szCs w:val="28"/>
              </w:rPr>
              <w:t>以体育健康为主题，打造集健身休闲、竞赛表演、运动体验、旅游及文化展示功能于一体，产业定位明确、体育内容丰富、文化内涵鲜明、宜业宜居的运动休闲特色小镇。</w:t>
            </w:r>
          </w:p>
        </w:tc>
      </w:tr>
      <w:bookmarkEnd w:id="478"/>
      <w:bookmarkEnd w:id="479"/>
    </w:tbl>
    <w:p>
      <w:pPr>
        <w:pStyle w:val="9"/>
        <w:widowControl w:val="0"/>
        <w:spacing w:line="560" w:lineRule="exact"/>
        <w:rPr>
          <w:rFonts w:ascii="黑体" w:hAnsi="黑体" w:eastAsia="黑体"/>
        </w:rPr>
      </w:pPr>
      <w:bookmarkStart w:id="504" w:name="_Toc13508"/>
      <w:bookmarkStart w:id="505" w:name="_Toc56346980"/>
      <w:bookmarkStart w:id="506" w:name="_Toc22973453"/>
      <w:bookmarkStart w:id="507" w:name="_Toc10914"/>
      <w:bookmarkStart w:id="508" w:name="_Toc16099"/>
      <w:bookmarkStart w:id="509" w:name="_Toc24359"/>
      <w:bookmarkStart w:id="510" w:name="_Toc9110"/>
      <w:bookmarkStart w:id="511" w:name="_Toc11728"/>
      <w:bookmarkStart w:id="512" w:name="_Toc15376"/>
      <w:bookmarkStart w:id="513" w:name="_Toc6243"/>
      <w:bookmarkStart w:id="514" w:name="_Toc31819"/>
      <w:bookmarkStart w:id="515" w:name="_Toc6652"/>
    </w:p>
    <w:p>
      <w:pPr>
        <w:pStyle w:val="9"/>
        <w:widowControl w:val="0"/>
        <w:spacing w:line="560" w:lineRule="exact"/>
        <w:rPr>
          <w:rFonts w:ascii="黑体" w:hAnsi="黑体" w:eastAsia="黑体"/>
        </w:rPr>
      </w:pPr>
    </w:p>
    <w:p>
      <w:pPr>
        <w:rPr>
          <w:rFonts w:ascii="黑体" w:hAnsi="黑体" w:eastAsia="黑体"/>
        </w:rPr>
      </w:pPr>
    </w:p>
    <w:p>
      <w:pPr>
        <w:pStyle w:val="2"/>
        <w:ind w:firstLine="640"/>
        <w:rPr>
          <w:rFonts w:ascii="黑体" w:hAnsi="黑体" w:eastAsia="黑体"/>
          <w:color w:val="auto"/>
        </w:rPr>
      </w:pPr>
    </w:p>
    <w:p>
      <w:pPr>
        <w:pStyle w:val="9"/>
        <w:widowControl w:val="0"/>
        <w:spacing w:line="560" w:lineRule="exact"/>
        <w:rPr>
          <w:rFonts w:ascii="黑体" w:hAnsi="黑体" w:eastAsia="黑体"/>
        </w:rPr>
      </w:pPr>
      <w:r>
        <w:rPr>
          <w:rFonts w:hint="eastAsia" w:ascii="黑体" w:hAnsi="黑体" w:eastAsia="黑体"/>
        </w:rPr>
        <w:t>第十一章</w:t>
      </w:r>
      <w:bookmarkEnd w:id="504"/>
      <w:bookmarkEnd w:id="505"/>
      <w:bookmarkEnd w:id="506"/>
      <w:r>
        <w:rPr>
          <w:rFonts w:ascii="黑体" w:hAnsi="黑体" w:eastAsia="黑体"/>
        </w:rPr>
        <w:t xml:space="preserve">  </w:t>
      </w:r>
      <w:bookmarkStart w:id="516" w:name="_Toc17448"/>
      <w:bookmarkStart w:id="517" w:name="_Toc56346981"/>
      <w:r>
        <w:rPr>
          <w:rFonts w:hint="eastAsia" w:ascii="黑体" w:hAnsi="黑体" w:eastAsia="黑体"/>
        </w:rPr>
        <w:t>坚定不移强化生态文明建设</w:t>
      </w:r>
      <w:bookmarkEnd w:id="507"/>
      <w:bookmarkEnd w:id="508"/>
      <w:bookmarkEnd w:id="509"/>
      <w:bookmarkEnd w:id="510"/>
      <w:bookmarkEnd w:id="511"/>
      <w:bookmarkEnd w:id="512"/>
      <w:bookmarkEnd w:id="513"/>
      <w:bookmarkEnd w:id="514"/>
      <w:bookmarkEnd w:id="515"/>
      <w:bookmarkEnd w:id="516"/>
      <w:bookmarkEnd w:id="517"/>
    </w:p>
    <w:p>
      <w:pPr>
        <w:widowControl w:val="0"/>
        <w:spacing w:line="580" w:lineRule="exact"/>
        <w:ind w:firstLine="624" w:firstLineChars="195"/>
        <w:rPr>
          <w:rFonts w:ascii="仿宋_GB2312" w:hAnsi="仿宋_GB2312" w:eastAsia="仿宋_GB2312" w:cs="仿宋_GB2312"/>
          <w:sz w:val="32"/>
          <w:szCs w:val="32"/>
        </w:rPr>
      </w:pPr>
      <w:r>
        <w:rPr>
          <w:rFonts w:hint="eastAsia" w:ascii="仿宋_GB2312" w:hAnsi="仿宋_GB2312" w:eastAsia="仿宋_GB2312" w:cs="仿宋_GB2312"/>
          <w:sz w:val="32"/>
          <w:szCs w:val="32"/>
        </w:rPr>
        <w:t>深入实施可持续发展战略，促进经济社会发展全面绿色转型，在更高水平上建设国家生态文明战略示范区，力保生态环境质量继续保持全国领先水平。</w:t>
      </w:r>
    </w:p>
    <w:p>
      <w:pPr>
        <w:widowControl w:val="0"/>
        <w:jc w:val="center"/>
        <w:outlineLvl w:val="1"/>
        <w:rPr>
          <w:rFonts w:ascii="楷体" w:hAnsi="楷体" w:eastAsia="楷体" w:cstheme="minorBidi"/>
          <w:b/>
          <w:sz w:val="32"/>
          <w:szCs w:val="32"/>
        </w:rPr>
      </w:pPr>
      <w:bookmarkStart w:id="518" w:name="_Toc11019"/>
      <w:bookmarkStart w:id="519" w:name="_Toc14409"/>
      <w:bookmarkStart w:id="520" w:name="_Toc5521"/>
      <w:bookmarkStart w:id="521" w:name="_Toc14687"/>
      <w:bookmarkStart w:id="522" w:name="_Toc28404"/>
      <w:bookmarkStart w:id="523" w:name="_Toc8628"/>
      <w:bookmarkStart w:id="524" w:name="_Toc24110"/>
      <w:bookmarkStart w:id="525" w:name="_Toc28010"/>
      <w:bookmarkStart w:id="526" w:name="_Toc56346982"/>
      <w:r>
        <w:rPr>
          <w:rFonts w:hint="eastAsia" w:ascii="楷体" w:hAnsi="楷体" w:eastAsia="楷体"/>
          <w:b/>
          <w:sz w:val="32"/>
          <w:szCs w:val="32"/>
        </w:rPr>
        <w:t>第一节</w:t>
      </w:r>
      <w:r>
        <w:rPr>
          <w:rFonts w:ascii="楷体" w:hAnsi="楷体" w:eastAsia="楷体"/>
          <w:b/>
          <w:sz w:val="32"/>
          <w:szCs w:val="32"/>
        </w:rPr>
        <w:t xml:space="preserve">  </w:t>
      </w:r>
      <w:r>
        <w:rPr>
          <w:rFonts w:hint="eastAsia" w:ascii="楷体" w:hAnsi="楷体" w:eastAsia="楷体"/>
          <w:b/>
          <w:sz w:val="32"/>
          <w:szCs w:val="32"/>
        </w:rPr>
        <w:t>完善生态文明体系</w:t>
      </w:r>
      <w:bookmarkEnd w:id="518"/>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构建高效统一的规划管理体系，完善生态文明制度体系。全面完成“三线一单”的编制和应用，实现生态环境保护清单化管理、空间精细化管控，实现生态环境治理能力现代化。实施“三线一单”生态环境分区管控，不断推动发展方式转变、经济结构优化、增长动力转换。健全自然资源资产产权制度和有偿使用制度，加快建立流域上下游生态补偿机制、水权交易机制和森林、湿地生态效益补偿机制。实施重要生态系统保护和修复重大工程，构建生态廊道和生物多样性保护网络。实施自然保护地体系建设工程，在编制或修编市国土空间总体规划时，做好与全省自然保护地整合优化、生态保护红线评估调整等专项规划的衔接，落实相关专项规划的管控要求。全力创建“中国天然氧吧”</w:t>
      </w:r>
      <w:r>
        <w:rPr>
          <w:rFonts w:ascii="仿宋_GB2312" w:hAnsi="仿宋_GB2312" w:eastAsia="仿宋_GB2312" w:cs="仿宋_GB2312"/>
          <w:sz w:val="32"/>
          <w:szCs w:val="32"/>
        </w:rPr>
        <w:t>,结合我市资源禀赋探索推出“</w:t>
      </w:r>
      <w:r>
        <w:rPr>
          <w:rFonts w:hint="eastAsia" w:ascii="仿宋_GB2312" w:hAnsi="仿宋_GB2312" w:eastAsia="仿宋_GB2312" w:cs="仿宋_GB2312"/>
          <w:sz w:val="32"/>
          <w:szCs w:val="32"/>
        </w:rPr>
        <w:t>中国</w:t>
      </w:r>
      <w:r>
        <w:rPr>
          <w:rFonts w:ascii="仿宋_GB2312" w:hAnsi="仿宋_GB2312" w:eastAsia="仿宋_GB2312" w:cs="仿宋_GB2312"/>
          <w:sz w:val="32"/>
          <w:szCs w:val="32"/>
        </w:rPr>
        <w:t>天然氧吧”特色旅游产品。</w:t>
      </w:r>
      <w:r>
        <w:rPr>
          <w:rFonts w:hint="eastAsia" w:ascii="仿宋_GB2312" w:hAnsi="仿宋_GB2312" w:eastAsia="仿宋_GB2312" w:cs="仿宋_GB2312"/>
          <w:sz w:val="32"/>
          <w:szCs w:val="32"/>
        </w:rPr>
        <w:t>提质升级博鳌小镇的田园特色风光，建设生态环境一流的国家级休闲外交基地，打造在国际上展示我国积极参与生态文明建设成果的靓丽名片。</w:t>
      </w:r>
    </w:p>
    <w:p>
      <w:pPr>
        <w:widowControl w:val="0"/>
        <w:jc w:val="center"/>
        <w:outlineLvl w:val="1"/>
        <w:rPr>
          <w:rFonts w:ascii="楷体" w:hAnsi="楷体" w:eastAsia="楷体" w:cs="仿宋_GB2312"/>
          <w:b/>
          <w:sz w:val="32"/>
          <w:szCs w:val="32"/>
        </w:rPr>
      </w:pPr>
      <w:bookmarkStart w:id="527" w:name="_Toc216"/>
      <w:r>
        <w:rPr>
          <w:rFonts w:hint="eastAsia" w:ascii="楷体" w:hAnsi="楷体" w:eastAsia="楷体" w:cs="仿宋_GB2312"/>
          <w:b/>
          <w:sz w:val="32"/>
          <w:szCs w:val="32"/>
        </w:rPr>
        <w:t>第二节</w:t>
      </w:r>
      <w:r>
        <w:rPr>
          <w:rFonts w:ascii="楷体" w:hAnsi="楷体" w:eastAsia="楷体" w:cs="仿宋_GB2312"/>
          <w:b/>
          <w:sz w:val="32"/>
          <w:szCs w:val="32"/>
        </w:rPr>
        <w:t xml:space="preserve">  </w:t>
      </w:r>
      <w:r>
        <w:rPr>
          <w:rFonts w:hint="eastAsia" w:ascii="楷体" w:hAnsi="楷体" w:eastAsia="楷体" w:cs="仿宋_GB2312"/>
          <w:b/>
          <w:sz w:val="32"/>
          <w:szCs w:val="32"/>
        </w:rPr>
        <w:t>加强生态治理</w:t>
      </w:r>
      <w:bookmarkEnd w:id="527"/>
      <w:r>
        <w:rPr>
          <w:rFonts w:hint="eastAsia" w:ascii="楷体" w:hAnsi="楷体" w:eastAsia="楷体" w:cs="仿宋_GB2312"/>
          <w:b/>
          <w:sz w:val="32"/>
          <w:szCs w:val="32"/>
        </w:rPr>
        <w:t>和保护</w:t>
      </w:r>
    </w:p>
    <w:p>
      <w:pPr>
        <w:widowControl w:val="0"/>
        <w:spacing w:line="580" w:lineRule="exact"/>
        <w:ind w:firstLine="624" w:firstLineChars="195"/>
        <w:rPr>
          <w:rFonts w:ascii="仿宋_GB2312" w:hAnsi="仿宋_GB2312" w:eastAsia="仿宋_GB2312" w:cs="仿宋_GB2312"/>
          <w:sz w:val="32"/>
          <w:szCs w:val="32"/>
        </w:rPr>
      </w:pPr>
      <w:r>
        <w:rPr>
          <w:rFonts w:hint="eastAsia" w:ascii="仿宋_GB2312" w:hAnsi="仿宋_GB2312" w:eastAsia="仿宋_GB2312" w:cs="仿宋_GB2312"/>
          <w:sz w:val="32"/>
          <w:szCs w:val="32"/>
        </w:rPr>
        <w:t>持续开展生态环境六大专项整治，扎实做好中央环保督察和国家海洋督察反馈问题整改。结合自贸港建设不断完善大气污染防治精细化管理机制，确保空气质量持续保持全国领先水平。深入推进河长制、湖长制、湾长制，加强河流和近岸污染治理，提升河湖海岸管护水平，到2025年实现近海海域水质优良率保持在98%以上。</w:t>
      </w:r>
      <w:r>
        <w:rPr>
          <w:rFonts w:hint="eastAsia" w:ascii="仿宋_GB2312" w:eastAsia="仿宋_GB2312"/>
          <w:sz w:val="32"/>
          <w:szCs w:val="32"/>
        </w:rPr>
        <w:t>结合博鳌、潭门、长坡等沿海地区水文特征，沿海岸线适当修建防潮堤，保护好海岸线资源及沿岸群众生命财产安全。</w:t>
      </w:r>
      <w:r>
        <w:rPr>
          <w:rFonts w:hint="eastAsia" w:ascii="仿宋_GB2312" w:hAnsi="仿宋_GB2312" w:eastAsia="仿宋_GB2312" w:cs="仿宋_GB2312"/>
          <w:sz w:val="32"/>
          <w:szCs w:val="32"/>
        </w:rPr>
        <w:t>保护万泉河流域生态环境，完善水资源生态环境保护制度。加快城镇污水处理设施配套管网建设，建立健全污水管网专业运维管理机制和排水管理长效机制，因地制宜实施老旧城区雨污管网分流改造。加快推进农村生活污水处理设施建设，落实农村生活污水治理“建、管、用”一体化长效机制，力争</w:t>
      </w:r>
      <w:r>
        <w:rPr>
          <w:rFonts w:ascii="仿宋_GB2312" w:hAnsi="仿宋_GB2312" w:eastAsia="仿宋_GB2312" w:cs="仿宋_GB2312"/>
          <w:sz w:val="32"/>
          <w:szCs w:val="32"/>
        </w:rPr>
        <w:t>2025年</w:t>
      </w:r>
      <w:r>
        <w:rPr>
          <w:rFonts w:hint="eastAsia" w:ascii="仿宋_GB2312" w:hAnsi="仿宋_GB2312" w:eastAsia="仿宋_GB2312" w:cs="仿宋_GB2312"/>
          <w:sz w:val="32"/>
          <w:szCs w:val="32"/>
        </w:rPr>
        <w:t>底，基本实现全市行政村及自然村（含农林场队）农村生活污水治理全覆盖。实施化肥和农药减施行动，到2025年化肥减施5%，农药包装废弃物回收率达90%以上。鼓励养殖废弃物集中资源化利用，健全土壤生态环境保护制度。推动生活垃圾焚烧发电厂高效运转，大幅提升焚烧处置比例。着力提升危险废物处置利用能力，加快推进医疗废物处置设施扩能增容。推进“无废”城市建设，全面实施垃圾分类，推进“禁塑”工作。</w:t>
      </w:r>
    </w:p>
    <w:p>
      <w:pPr>
        <w:widowControl w:val="0"/>
        <w:jc w:val="center"/>
        <w:outlineLvl w:val="1"/>
        <w:rPr>
          <w:rFonts w:ascii="楷体" w:hAnsi="楷体" w:eastAsia="楷体" w:cs="仿宋_GB2312"/>
          <w:b/>
          <w:sz w:val="32"/>
          <w:szCs w:val="32"/>
        </w:rPr>
      </w:pPr>
      <w:bookmarkStart w:id="528" w:name="_Toc22259"/>
      <w:r>
        <w:rPr>
          <w:rFonts w:hint="eastAsia" w:ascii="楷体" w:hAnsi="楷体" w:eastAsia="楷体" w:cs="仿宋_GB2312"/>
          <w:b/>
          <w:sz w:val="32"/>
          <w:szCs w:val="32"/>
        </w:rPr>
        <w:t>第三节</w:t>
      </w:r>
      <w:r>
        <w:rPr>
          <w:rFonts w:ascii="楷体" w:hAnsi="楷体" w:eastAsia="楷体" w:cs="仿宋_GB2312"/>
          <w:b/>
          <w:sz w:val="32"/>
          <w:szCs w:val="32"/>
        </w:rPr>
        <w:t xml:space="preserve">  </w:t>
      </w:r>
      <w:bookmarkEnd w:id="528"/>
      <w:r>
        <w:rPr>
          <w:rFonts w:hint="eastAsia" w:ascii="楷体" w:hAnsi="楷体" w:eastAsia="楷体" w:cs="仿宋_GB2312"/>
          <w:b/>
          <w:sz w:val="32"/>
          <w:szCs w:val="32"/>
        </w:rPr>
        <w:t>提高资源节约集约利用水平</w:t>
      </w:r>
    </w:p>
    <w:p>
      <w:pPr>
        <w:widowControl w:val="0"/>
        <w:spacing w:line="620" w:lineRule="exact"/>
        <w:ind w:firstLine="624" w:firstLineChars="195"/>
        <w:rPr>
          <w:rFonts w:ascii="仿宋_GB2312" w:hAnsi="仿宋_GB2312" w:eastAsia="仿宋_GB2312" w:cs="仿宋_GB2312"/>
          <w:sz w:val="32"/>
          <w:szCs w:val="32"/>
        </w:rPr>
      </w:pPr>
      <w:r>
        <w:rPr>
          <w:rFonts w:hint="eastAsia" w:ascii="仿宋_GB2312" w:hAnsi="仿宋_GB2312" w:eastAsia="仿宋_GB2312" w:cs="仿宋_GB2312"/>
          <w:sz w:val="32"/>
          <w:szCs w:val="32"/>
        </w:rPr>
        <w:t>全面提高能源资源利用效率，推动形成绿色生产生活方式。全面实施能源消费总量和强度双控行动，促进资源节约利用。加快充电桩等基础设施建设，推广新能源汽车和节能环保汽车，到</w:t>
      </w:r>
      <w:r>
        <w:rPr>
          <w:rFonts w:ascii="仿宋_GB2312" w:hAnsi="仿宋_GB2312" w:eastAsia="仿宋_GB2312" w:cs="仿宋_GB2312"/>
          <w:sz w:val="32"/>
          <w:szCs w:val="32"/>
        </w:rPr>
        <w:t>2025年，新注册公交车、巡游出租车、分时租赁车等100%使用清洁能源汽车，网约出租车90%使用清洁能源汽车。到2030年，城乡</w:t>
      </w:r>
      <w:r>
        <w:rPr>
          <w:rFonts w:hint="eastAsia" w:ascii="仿宋_GB2312" w:hAnsi="仿宋_GB2312" w:eastAsia="仿宋_GB2312" w:cs="仿宋_GB2312"/>
          <w:sz w:val="32"/>
          <w:szCs w:val="32"/>
        </w:rPr>
        <w:t>和城</w:t>
      </w:r>
      <w:r>
        <w:rPr>
          <w:rFonts w:ascii="仿宋_GB2312" w:hAnsi="仿宋_GB2312" w:eastAsia="仿宋_GB2312" w:cs="仿宋_GB2312"/>
          <w:sz w:val="32"/>
          <w:szCs w:val="32"/>
        </w:rPr>
        <w:t>际班车、旅游客车等100%使用清洁能源汽车</w:t>
      </w:r>
      <w:r>
        <w:rPr>
          <w:rFonts w:hint="eastAsia" w:ascii="仿宋_GB2312" w:hAnsi="仿宋_GB2312" w:eastAsia="仿宋_GB2312" w:cs="仿宋_GB2312"/>
          <w:sz w:val="32"/>
          <w:szCs w:val="32"/>
        </w:rPr>
        <w:t>。推广合同能源管理，完善市场化节能机制。实行最严格的节约用地制度，实施建设用地总量和强度双控行动，深化全市闲置建设用地清理处置，推动低效土地再开发利用。加快推进节水型社会、节水型城市和各类节水载体建设，深入推进农业水价综合改革。有计划、分阶段、分区域地推进装配式建筑发展，提高新建绿色建筑比例。加大建筑节能审查监管力度，推广节能型新材料新技术应用。</w:t>
      </w:r>
    </w:p>
    <w:p>
      <w:pPr>
        <w:widowControl w:val="0"/>
        <w:jc w:val="center"/>
        <w:outlineLvl w:val="1"/>
        <w:rPr>
          <w:rFonts w:ascii="楷体" w:hAnsi="楷体" w:eastAsia="楷体" w:cs="仿宋_GB2312"/>
          <w:b/>
          <w:sz w:val="32"/>
          <w:szCs w:val="32"/>
        </w:rPr>
      </w:pPr>
      <w:bookmarkStart w:id="529" w:name="_Toc14028"/>
      <w:r>
        <w:rPr>
          <w:rFonts w:hint="eastAsia" w:ascii="楷体" w:hAnsi="楷体" w:eastAsia="楷体" w:cs="仿宋_GB2312"/>
          <w:b/>
          <w:sz w:val="32"/>
          <w:szCs w:val="32"/>
        </w:rPr>
        <w:t>第四节</w:t>
      </w:r>
      <w:r>
        <w:rPr>
          <w:rFonts w:ascii="楷体" w:hAnsi="楷体" w:eastAsia="楷体" w:cs="仿宋_GB2312"/>
          <w:b/>
          <w:sz w:val="32"/>
          <w:szCs w:val="32"/>
        </w:rPr>
        <w:t xml:space="preserve">  </w:t>
      </w:r>
      <w:bookmarkEnd w:id="529"/>
      <w:r>
        <w:rPr>
          <w:rFonts w:hint="eastAsia" w:ascii="楷体" w:hAnsi="楷体" w:eastAsia="楷体" w:cs="仿宋_GB2312"/>
          <w:b/>
          <w:sz w:val="32"/>
          <w:szCs w:val="32"/>
        </w:rPr>
        <w:t>构筑安全生态屏障</w:t>
      </w:r>
    </w:p>
    <w:p>
      <w:pPr>
        <w:widowControl w:val="0"/>
        <w:spacing w:line="580" w:lineRule="exact"/>
        <w:ind w:firstLine="624" w:firstLineChars="195"/>
        <w:rPr>
          <w:rFonts w:ascii="仿宋_GB2312" w:hAnsi="仿宋_GB2312" w:eastAsia="仿宋_GB2312" w:cs="仿宋_GB2312"/>
          <w:sz w:val="32"/>
          <w:szCs w:val="32"/>
        </w:rPr>
      </w:pPr>
      <w:r>
        <w:rPr>
          <w:rFonts w:hint="eastAsia" w:ascii="仿宋_GB2312" w:hAnsi="仿宋_GB2312" w:eastAsia="仿宋_GB2312" w:cs="仿宋_GB2312"/>
          <w:sz w:val="32"/>
          <w:szCs w:val="32"/>
        </w:rPr>
        <w:t>实行最严格的生态环境监管制度，建立健全环境监测监控体系，搭建生态环境保护信息化平台。严格行政执法，强化生态环境司法保护，对各类生态环境违法行为依法严惩重罚。落实排污许可制度改革政策，对排污单位实行从环境准入、排污控制到执法监管的“一证式”全过程管理。落实环保信用评价、信息强制性披露和环境污染“黑名单”制度。建立健全基层生态环境保护管理体制，明确乡镇（社区）和行政村承担生态环境保护责任的机构和专门人员，解决农村生态环境保护监管“最后一公里”问题。完善以绿色低碳发展为导向的评价考核体系</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对领导干部实行自然资源资产离任审计。落实经常性审计制度，</w:t>
      </w:r>
      <w:r>
        <w:rPr>
          <w:rFonts w:hint="eastAsia" w:ascii="仿宋_GB2312" w:hAnsi="仿宋_GB2312" w:eastAsia="仿宋_GB2312" w:cs="仿宋_GB2312"/>
          <w:bCs/>
          <w:sz w:val="32"/>
          <w:szCs w:val="32"/>
        </w:rPr>
        <w:t>增强保护环境的自觉性</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推动环境保护责任追究法制化进程</w:t>
      </w:r>
      <w:r>
        <w:rPr>
          <w:rFonts w:hint="eastAsia" w:ascii="仿宋_GB2312" w:hAnsi="仿宋_GB2312" w:eastAsia="仿宋_GB2312" w:cs="仿宋_GB2312"/>
          <w:sz w:val="32"/>
          <w:szCs w:val="32"/>
        </w:rPr>
        <w:t>。</w:t>
      </w:r>
    </w:p>
    <w:bookmarkEnd w:id="519"/>
    <w:bookmarkEnd w:id="520"/>
    <w:bookmarkEnd w:id="521"/>
    <w:bookmarkEnd w:id="522"/>
    <w:bookmarkEnd w:id="523"/>
    <w:bookmarkEnd w:id="524"/>
    <w:bookmarkEnd w:id="525"/>
    <w:bookmarkEnd w:id="526"/>
    <w:p>
      <w:pPr>
        <w:pStyle w:val="15"/>
        <w:widowControl w:val="0"/>
        <w:rPr>
          <w:color w:val="auto"/>
        </w:rPr>
      </w:pPr>
    </w:p>
    <w:tbl>
      <w:tblPr>
        <w:tblStyle w:val="1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288" w:type="dxa"/>
          </w:tcPr>
          <w:p>
            <w:pPr>
              <w:widowControl w:val="0"/>
              <w:spacing w:line="460" w:lineRule="exact"/>
              <w:jc w:val="center"/>
              <w:rPr>
                <w:rFonts w:ascii="Times New Roman" w:hAnsi="Times New Roman" w:eastAsia="黑体"/>
                <w:b/>
                <w:sz w:val="28"/>
                <w:szCs w:val="28"/>
              </w:rPr>
            </w:pPr>
            <w:r>
              <w:rPr>
                <w:rFonts w:hint="eastAsia" w:ascii="黑体" w:hAnsi="黑体" w:eastAsia="黑体"/>
                <w:b/>
                <w:sz w:val="28"/>
                <w:szCs w:val="28"/>
              </w:rPr>
              <w:t>专栏</w:t>
            </w:r>
            <w:r>
              <w:rPr>
                <w:rFonts w:ascii="黑体" w:hAnsi="黑体" w:eastAsia="黑体"/>
                <w:b/>
                <w:sz w:val="28"/>
                <w:szCs w:val="28"/>
              </w:rPr>
              <w:t>2</w:t>
            </w:r>
            <w:r>
              <w:rPr>
                <w:rFonts w:hint="eastAsia" w:ascii="黑体" w:hAnsi="黑体" w:eastAsia="黑体"/>
                <w:b/>
                <w:sz w:val="28"/>
                <w:szCs w:val="28"/>
              </w:rPr>
              <w:t>1</w:t>
            </w:r>
            <w:r>
              <w:rPr>
                <w:rFonts w:ascii="黑体" w:hAnsi="黑体" w:eastAsia="黑体"/>
                <w:b/>
                <w:sz w:val="28"/>
                <w:szCs w:val="28"/>
              </w:rPr>
              <w:t>：“十四五”时期琼海市生态环保规划重点工程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8" w:type="dxa"/>
          </w:tcPr>
          <w:p>
            <w:pPr>
              <w:widowControl w:val="0"/>
              <w:spacing w:line="52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w:t>
            </w:r>
            <w:r>
              <w:rPr>
                <w:rFonts w:hint="eastAsia" w:ascii="楷体_GB2312" w:hAnsi="楷体_GB2312" w:eastAsia="楷体_GB2312" w:cs="楷体_GB2312"/>
                <w:b/>
                <w:sz w:val="28"/>
                <w:szCs w:val="28"/>
              </w:rPr>
              <w:t>1</w:t>
            </w:r>
            <w:r>
              <w:rPr>
                <w:rFonts w:ascii="楷体_GB2312" w:hAnsi="楷体_GB2312" w:eastAsia="楷体_GB2312" w:cs="楷体_GB2312"/>
                <w:b/>
                <w:sz w:val="28"/>
                <w:szCs w:val="28"/>
              </w:rPr>
              <w:t>.嘉积城区污水处理厂扩建工程</w:t>
            </w:r>
          </w:p>
          <w:p>
            <w:pPr>
              <w:widowControl w:val="0"/>
              <w:spacing w:line="520" w:lineRule="exact"/>
              <w:ind w:firstLine="540" w:firstLineChars="193"/>
              <w:rPr>
                <w:rFonts w:ascii="仿宋_GB2312" w:hAnsi="仿宋_GB2312" w:eastAsia="仿宋_GB2312" w:cs="仿宋_GB2312"/>
                <w:sz w:val="28"/>
                <w:szCs w:val="28"/>
              </w:rPr>
            </w:pPr>
            <w:r>
              <w:rPr>
                <w:rFonts w:hint="eastAsia" w:ascii="仿宋_GB2312" w:hAnsi="仿宋_GB2312" w:eastAsia="仿宋_GB2312" w:cs="仿宋_GB2312"/>
                <w:sz w:val="28"/>
                <w:szCs w:val="28"/>
              </w:rPr>
              <w:t>建设处理规模为4万m³/d的污水处理厂。</w:t>
            </w:r>
          </w:p>
          <w:p>
            <w:pPr>
              <w:widowControl w:val="0"/>
              <w:spacing w:line="520" w:lineRule="exact"/>
              <w:ind w:firstLine="548" w:firstLineChars="195"/>
              <w:rPr>
                <w:rFonts w:ascii="楷体_GB2312" w:hAnsi="楷体_GB2312" w:eastAsia="楷体_GB2312" w:cs="楷体_GB2312"/>
                <w:b/>
                <w:sz w:val="28"/>
                <w:szCs w:val="28"/>
              </w:rPr>
            </w:pPr>
            <w:r>
              <w:rPr>
                <w:rFonts w:hint="eastAsia" w:ascii="楷体_GB2312" w:hAnsi="楷体_GB2312" w:eastAsia="楷体_GB2312" w:cs="楷体_GB2312"/>
                <w:b/>
                <w:sz w:val="28"/>
                <w:szCs w:val="28"/>
              </w:rPr>
              <w:t>02</w:t>
            </w:r>
            <w:r>
              <w:rPr>
                <w:rFonts w:ascii="楷体_GB2312" w:hAnsi="楷体_GB2312" w:eastAsia="楷体_GB2312" w:cs="楷体_GB2312"/>
                <w:b/>
                <w:sz w:val="28"/>
                <w:szCs w:val="28"/>
              </w:rPr>
              <w:t>.</w:t>
            </w:r>
            <w:r>
              <w:rPr>
                <w:rFonts w:hint="eastAsia" w:ascii="楷体_GB2312" w:hAnsi="楷体_GB2312" w:eastAsia="楷体_GB2312" w:cs="楷体_GB2312"/>
                <w:b/>
                <w:sz w:val="28"/>
                <w:szCs w:val="28"/>
              </w:rPr>
              <w:t>建制镇污水处理工程</w:t>
            </w:r>
          </w:p>
          <w:p>
            <w:pPr>
              <w:widowControl w:val="0"/>
              <w:spacing w:line="520" w:lineRule="exact"/>
              <w:ind w:firstLine="546" w:firstLineChars="195"/>
              <w:rPr>
                <w:rFonts w:ascii="仿宋_GB2312" w:hAnsi="仿宋_GB2312" w:eastAsia="仿宋_GB2312" w:cs="仿宋_GB2312"/>
                <w:sz w:val="28"/>
                <w:szCs w:val="28"/>
              </w:rPr>
            </w:pPr>
            <w:r>
              <w:rPr>
                <w:rFonts w:hint="eastAsia" w:ascii="仿宋_GB2312" w:hAnsi="仿宋_GB2312" w:eastAsia="仿宋_GB2312" w:cs="仿宋_GB2312"/>
                <w:sz w:val="28"/>
                <w:szCs w:val="28"/>
              </w:rPr>
              <w:t>建设万泉镇、石壁镇、阳江镇、大路镇、中原镇、长坡镇及塔洋镇污水处理配套管网。</w:t>
            </w:r>
          </w:p>
          <w:p>
            <w:pPr>
              <w:widowControl w:val="0"/>
              <w:spacing w:line="52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w:t>
            </w:r>
            <w:r>
              <w:rPr>
                <w:rFonts w:hint="eastAsia" w:ascii="楷体_GB2312" w:hAnsi="楷体_GB2312" w:eastAsia="楷体_GB2312" w:cs="楷体_GB2312"/>
                <w:b/>
                <w:sz w:val="28"/>
                <w:szCs w:val="28"/>
              </w:rPr>
              <w:t>3</w:t>
            </w:r>
            <w:r>
              <w:rPr>
                <w:rFonts w:ascii="楷体_GB2312" w:hAnsi="楷体_GB2312" w:eastAsia="楷体_GB2312" w:cs="楷体_GB2312"/>
                <w:b/>
                <w:sz w:val="28"/>
                <w:szCs w:val="28"/>
              </w:rPr>
              <w:t>.琼海生活垃圾焚烧发电厂扩建</w:t>
            </w:r>
            <w:r>
              <w:rPr>
                <w:rFonts w:hint="eastAsia" w:ascii="楷体_GB2312" w:hAnsi="楷体_GB2312" w:eastAsia="楷体_GB2312" w:cs="楷体_GB2312"/>
                <w:b/>
                <w:sz w:val="28"/>
                <w:szCs w:val="28"/>
              </w:rPr>
              <w:t>工程</w:t>
            </w:r>
          </w:p>
          <w:p>
            <w:pPr>
              <w:widowControl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对垃圾焚烧发电厂进行扩建，扩建后可达日处理生活垃圾1200吨，包括2台600吨/天机械炉、1台25MW凝气式汽轮发电机组、厂房及配套设施，配套建设飞灰填埋场占地面积73.3亩，库容34.7万m3，日处理飞灰固化物46t/d。</w:t>
            </w:r>
          </w:p>
          <w:p>
            <w:pPr>
              <w:widowControl w:val="0"/>
              <w:spacing w:line="520" w:lineRule="exact"/>
              <w:ind w:firstLine="562" w:firstLineChars="200"/>
              <w:rPr>
                <w:rFonts w:ascii="仿宋" w:hAnsi="仿宋" w:eastAsia="仿宋" w:cs="仿宋"/>
                <w:sz w:val="28"/>
                <w:szCs w:val="28"/>
              </w:rPr>
            </w:pPr>
            <w:r>
              <w:rPr>
                <w:rFonts w:ascii="楷体_GB2312" w:hAnsi="楷体_GB2312" w:eastAsia="楷体_GB2312" w:cs="楷体_GB2312"/>
                <w:b/>
                <w:sz w:val="28"/>
                <w:szCs w:val="28"/>
              </w:rPr>
              <w:t>0</w:t>
            </w:r>
            <w:r>
              <w:rPr>
                <w:rFonts w:hint="eastAsia" w:ascii="楷体_GB2312" w:hAnsi="楷体_GB2312" w:eastAsia="楷体_GB2312" w:cs="楷体_GB2312"/>
                <w:b/>
                <w:sz w:val="28"/>
                <w:szCs w:val="28"/>
              </w:rPr>
              <w:t>4</w:t>
            </w:r>
            <w:r>
              <w:rPr>
                <w:rFonts w:ascii="楷体_GB2312" w:hAnsi="楷体_GB2312" w:eastAsia="楷体_GB2312" w:cs="楷体_GB2312"/>
                <w:b/>
                <w:sz w:val="28"/>
                <w:szCs w:val="28"/>
              </w:rPr>
              <w:t>.垃圾堆放场维护处置工程</w:t>
            </w:r>
          </w:p>
          <w:p>
            <w:pPr>
              <w:widowControl w:val="0"/>
              <w:spacing w:line="520" w:lineRule="exact"/>
              <w:ind w:firstLine="560" w:firstLineChars="200"/>
              <w:rPr>
                <w:rFonts w:ascii="仿宋" w:hAnsi="仿宋" w:eastAsia="仿宋" w:cs="仿宋"/>
                <w:sz w:val="28"/>
                <w:szCs w:val="28"/>
              </w:rPr>
            </w:pPr>
            <w:r>
              <w:rPr>
                <w:rFonts w:hint="eastAsia" w:ascii="仿宋_GB2312" w:hAnsi="仿宋_GB2312" w:eastAsia="仿宋_GB2312" w:cs="仿宋_GB2312"/>
                <w:sz w:val="28"/>
                <w:szCs w:val="28"/>
              </w:rPr>
              <w:t>维护12个镇（区）的垃圾临时堆放场，逐步对堆放的垃圾进行处理消化。</w:t>
            </w:r>
          </w:p>
          <w:p>
            <w:pPr>
              <w:widowControl w:val="0"/>
              <w:spacing w:line="520" w:lineRule="exact"/>
              <w:ind w:firstLine="562" w:firstLineChars="200"/>
              <w:rPr>
                <w:rFonts w:ascii="楷体_GB2312" w:hAnsi="楷体_GB2312" w:eastAsia="楷体_GB2312" w:cs="楷体_GB2312"/>
                <w:b/>
                <w:sz w:val="28"/>
                <w:szCs w:val="28"/>
              </w:rPr>
            </w:pPr>
            <w:r>
              <w:rPr>
                <w:rFonts w:ascii="楷体_GB2312" w:hAnsi="楷体_GB2312" w:eastAsia="楷体_GB2312" w:cs="楷体_GB2312"/>
                <w:b/>
                <w:sz w:val="28"/>
                <w:szCs w:val="28"/>
              </w:rPr>
              <w:t>05.生活垃圾分类处理工程</w:t>
            </w:r>
          </w:p>
          <w:p>
            <w:pPr>
              <w:widowControl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进一步改造完善我市生活垃圾分类收集、转运设施。加强宣传，鼓励引导市民及企业使用再利用、可再生、可降解等有利于生活垃圾减量化、资源化的产品，建立健全生活垃圾分类投放、分类收集、分类运输、分类处置的全程分类体系。</w:t>
            </w:r>
          </w:p>
          <w:p>
            <w:pPr>
              <w:widowControl w:val="0"/>
              <w:spacing w:line="520" w:lineRule="exact"/>
              <w:ind w:left="559" w:leftChars="266"/>
              <w:rPr>
                <w:rFonts w:ascii="仿宋" w:hAnsi="仿宋" w:eastAsia="仿宋" w:cs="仿宋"/>
                <w:sz w:val="28"/>
                <w:szCs w:val="28"/>
              </w:rPr>
            </w:pPr>
            <w:r>
              <w:rPr>
                <w:rFonts w:ascii="楷体_GB2312" w:hAnsi="楷体_GB2312" w:eastAsia="楷体_GB2312" w:cs="楷体_GB2312"/>
                <w:b/>
                <w:sz w:val="28"/>
                <w:szCs w:val="28"/>
              </w:rPr>
              <w:t>0</w:t>
            </w:r>
            <w:r>
              <w:rPr>
                <w:rFonts w:hint="eastAsia" w:ascii="楷体_GB2312" w:hAnsi="楷体_GB2312" w:eastAsia="楷体_GB2312" w:cs="楷体_GB2312"/>
                <w:b/>
                <w:sz w:val="28"/>
                <w:szCs w:val="28"/>
              </w:rPr>
              <w:t>6</w:t>
            </w:r>
            <w:r>
              <w:rPr>
                <w:rFonts w:ascii="楷体_GB2312" w:hAnsi="楷体_GB2312" w:eastAsia="楷体_GB2312" w:cs="楷体_GB2312"/>
                <w:b/>
                <w:sz w:val="28"/>
                <w:szCs w:val="28"/>
              </w:rPr>
              <w:t>.博鳌东海养殖区海水集中供水工程</w:t>
            </w:r>
          </w:p>
          <w:p>
            <w:pPr>
              <w:widowControl w:val="0"/>
              <w:spacing w:line="52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建设规模为海水供水25万吨/日的供水工程，改造东海地区供水系统，包括海水净化厂、取水井、水泵房、管道等。</w:t>
            </w:r>
          </w:p>
          <w:p>
            <w:pPr>
              <w:widowControl w:val="0"/>
              <w:spacing w:line="520" w:lineRule="exact"/>
              <w:ind w:firstLine="562" w:firstLineChars="200"/>
              <w:rPr>
                <w:rFonts w:ascii="楷体_GB2312" w:hAnsi="楷体_GB2312" w:eastAsia="楷体_GB2312" w:cs="楷体_GB2312"/>
                <w:b/>
                <w:sz w:val="28"/>
                <w:szCs w:val="28"/>
              </w:rPr>
            </w:pPr>
            <w:r>
              <w:rPr>
                <w:rFonts w:ascii="楷体_GB2312" w:hAnsi="楷体_GB2312" w:eastAsia="楷体_GB2312" w:cs="楷体_GB2312"/>
                <w:b/>
                <w:sz w:val="28"/>
                <w:szCs w:val="28"/>
              </w:rPr>
              <w:t>0</w:t>
            </w:r>
            <w:r>
              <w:rPr>
                <w:rFonts w:hint="eastAsia" w:ascii="楷体_GB2312" w:hAnsi="楷体_GB2312" w:eastAsia="楷体_GB2312" w:cs="楷体_GB2312"/>
                <w:b/>
                <w:sz w:val="28"/>
                <w:szCs w:val="28"/>
              </w:rPr>
              <w:t>7</w:t>
            </w:r>
            <w:r>
              <w:rPr>
                <w:rFonts w:ascii="楷体_GB2312" w:hAnsi="楷体_GB2312" w:eastAsia="楷体_GB2312" w:cs="楷体_GB2312"/>
                <w:b/>
                <w:sz w:val="28"/>
                <w:szCs w:val="28"/>
              </w:rPr>
              <w:t>.博鳌东海养殖尾水集中离岸排放工程</w:t>
            </w:r>
          </w:p>
          <w:p>
            <w:pPr>
              <w:widowControl w:val="0"/>
              <w:spacing w:line="520" w:lineRule="exact"/>
              <w:ind w:firstLine="540" w:firstLineChars="193"/>
              <w:rPr>
                <w:rFonts w:ascii="仿宋" w:hAnsi="仿宋" w:eastAsia="仿宋" w:cs="仿宋"/>
                <w:sz w:val="28"/>
                <w:szCs w:val="28"/>
              </w:rPr>
            </w:pPr>
            <w:r>
              <w:rPr>
                <w:rFonts w:hint="eastAsia" w:ascii="仿宋_GB2312" w:hAnsi="仿宋_GB2312" w:eastAsia="仿宋_GB2312" w:cs="仿宋_GB2312"/>
                <w:sz w:val="28"/>
                <w:szCs w:val="28"/>
              </w:rPr>
              <w:t>建设规模为海水排水25万吨/日的排水工程，对养殖废水进行集中处理排放。</w:t>
            </w:r>
          </w:p>
        </w:tc>
      </w:tr>
    </w:tbl>
    <w:p>
      <w:pPr>
        <w:widowControl w:val="0"/>
      </w:pPr>
      <w:bookmarkStart w:id="530" w:name="_Toc56346987"/>
      <w:bookmarkStart w:id="531" w:name="_Toc32131"/>
      <w:bookmarkStart w:id="532" w:name="_Toc26744"/>
      <w:bookmarkStart w:id="533" w:name="_Toc3257"/>
      <w:bookmarkStart w:id="534" w:name="_Toc8822"/>
      <w:bookmarkStart w:id="535" w:name="_Toc25635"/>
      <w:bookmarkStart w:id="536" w:name="_Toc29220"/>
    </w:p>
    <w:p>
      <w:pPr>
        <w:pStyle w:val="9"/>
        <w:widowControl w:val="0"/>
        <w:rPr>
          <w:rFonts w:ascii="黑体" w:hAnsi="黑体" w:eastAsia="黑体" w:cs="黑体"/>
        </w:rPr>
      </w:pPr>
      <w:bookmarkStart w:id="537" w:name="_Toc1517"/>
      <w:bookmarkStart w:id="538" w:name="_Toc30391"/>
      <w:bookmarkStart w:id="539" w:name="_Toc15347"/>
      <w:bookmarkStart w:id="540" w:name="_Toc3533"/>
    </w:p>
    <w:p>
      <w:pPr>
        <w:rPr>
          <w:rFonts w:ascii="黑体" w:hAnsi="黑体" w:eastAsia="黑体"/>
        </w:rPr>
      </w:pPr>
    </w:p>
    <w:p>
      <w:pPr>
        <w:pStyle w:val="2"/>
        <w:ind w:firstLine="640"/>
        <w:rPr>
          <w:color w:val="auto"/>
        </w:rPr>
      </w:pPr>
    </w:p>
    <w:p>
      <w:pPr>
        <w:pStyle w:val="9"/>
        <w:widowControl w:val="0"/>
        <w:rPr>
          <w:rFonts w:ascii="黑体" w:hAnsi="黑体" w:eastAsia="黑体" w:cs="黑体"/>
        </w:rPr>
      </w:pPr>
      <w:r>
        <w:rPr>
          <w:rFonts w:hint="eastAsia" w:ascii="黑体" w:hAnsi="黑体" w:eastAsia="黑体" w:cs="黑体"/>
        </w:rPr>
        <w:t>第十二章</w:t>
      </w:r>
      <w:bookmarkEnd w:id="530"/>
      <w:bookmarkEnd w:id="531"/>
      <w:r>
        <w:rPr>
          <w:rFonts w:ascii="黑体" w:hAnsi="黑体" w:eastAsia="黑体" w:cs="黑体"/>
        </w:rPr>
        <w:t xml:space="preserve">  </w:t>
      </w:r>
      <w:bookmarkStart w:id="541" w:name="_Toc7364"/>
      <w:bookmarkStart w:id="542" w:name="_Toc56346988"/>
      <w:r>
        <w:rPr>
          <w:rFonts w:hint="eastAsia" w:ascii="黑体" w:hAnsi="黑体" w:eastAsia="黑体" w:cs="黑体"/>
        </w:rPr>
        <w:t>高水平推进基本公共服务均等化</w:t>
      </w:r>
      <w:bookmarkEnd w:id="532"/>
      <w:bookmarkEnd w:id="533"/>
      <w:bookmarkEnd w:id="534"/>
      <w:bookmarkEnd w:id="535"/>
      <w:bookmarkEnd w:id="536"/>
      <w:bookmarkEnd w:id="537"/>
      <w:bookmarkEnd w:id="538"/>
      <w:bookmarkEnd w:id="539"/>
      <w:bookmarkEnd w:id="540"/>
      <w:bookmarkEnd w:id="541"/>
      <w:bookmarkEnd w:id="542"/>
    </w:p>
    <w:p>
      <w:pPr>
        <w:widowControl w:val="0"/>
        <w:spacing w:line="580" w:lineRule="exact"/>
        <w:ind w:firstLine="624" w:firstLineChars="195"/>
        <w:rPr>
          <w:rFonts w:ascii="仿宋_GB2312" w:hAnsi="仿宋_GB2312" w:eastAsia="仿宋_GB2312" w:cs="仿宋_GB2312"/>
          <w:b/>
          <w:sz w:val="32"/>
          <w:szCs w:val="32"/>
        </w:rPr>
      </w:pPr>
      <w:r>
        <w:rPr>
          <w:rFonts w:hint="eastAsia" w:ascii="仿宋_GB2312" w:hAnsi="仿宋_GB2312" w:eastAsia="仿宋_GB2312" w:cs="仿宋_GB2312"/>
          <w:sz w:val="32"/>
          <w:szCs w:val="32"/>
        </w:rPr>
        <w:t>坚持以人为本的理念，按照覆盖全体市民、覆盖市民全生命周期、覆盖公共服务全领域的目标，统筹兼顾、尽力而为、量力而行，切实加大投入，不断提高基本公共服务水平；充分发挥市场和社会的作用，丰富公共服务内涵，提高供给效率。建立与经济发展水平相适应，体系完整、内外均衡、全国领先的公共服务体系，不断增强人民群众获得感、幸福感。</w:t>
      </w:r>
    </w:p>
    <w:p>
      <w:pPr>
        <w:pStyle w:val="9"/>
        <w:widowControl w:val="0"/>
        <w:spacing w:line="560" w:lineRule="exact"/>
        <w:outlineLvl w:val="1"/>
        <w:rPr>
          <w:rFonts w:ascii="楷体" w:hAnsi="楷体" w:eastAsia="楷体"/>
        </w:rPr>
      </w:pPr>
      <w:bookmarkStart w:id="543" w:name="_Toc8799"/>
      <w:bookmarkStart w:id="544" w:name="_Toc56346989"/>
      <w:bookmarkStart w:id="545" w:name="_Toc13519"/>
      <w:bookmarkStart w:id="546" w:name="_Toc30508"/>
      <w:bookmarkStart w:id="547" w:name="_Toc24809"/>
      <w:bookmarkStart w:id="548" w:name="_Toc1837"/>
      <w:bookmarkStart w:id="549" w:name="_Toc18116"/>
      <w:bookmarkStart w:id="550" w:name="_Toc1358"/>
      <w:bookmarkStart w:id="551" w:name="_Toc31846"/>
      <w:bookmarkStart w:id="552" w:name="_Toc24065"/>
      <w:bookmarkStart w:id="553" w:name="_Toc28392"/>
      <w:r>
        <w:rPr>
          <w:rFonts w:hint="eastAsia" w:ascii="楷体" w:hAnsi="楷体" w:eastAsia="楷体"/>
        </w:rPr>
        <w:t>第一节</w:t>
      </w:r>
      <w:r>
        <w:rPr>
          <w:rFonts w:ascii="楷体" w:hAnsi="楷体" w:eastAsia="楷体"/>
        </w:rPr>
        <w:t xml:space="preserve">  </w:t>
      </w:r>
      <w:r>
        <w:rPr>
          <w:rFonts w:hint="eastAsia" w:ascii="楷体" w:hAnsi="楷体" w:eastAsia="楷体"/>
        </w:rPr>
        <w:t>建设教育强市</w:t>
      </w:r>
      <w:bookmarkEnd w:id="543"/>
      <w:bookmarkEnd w:id="544"/>
      <w:bookmarkEnd w:id="545"/>
      <w:bookmarkEnd w:id="546"/>
      <w:bookmarkEnd w:id="547"/>
      <w:bookmarkEnd w:id="548"/>
      <w:bookmarkEnd w:id="549"/>
      <w:bookmarkEnd w:id="550"/>
      <w:bookmarkEnd w:id="551"/>
      <w:bookmarkEnd w:id="552"/>
      <w:bookmarkEnd w:id="553"/>
    </w:p>
    <w:p>
      <w:pPr>
        <w:widowControl w:val="0"/>
        <w:spacing w:line="580" w:lineRule="exact"/>
        <w:ind w:firstLine="626" w:firstLineChars="195"/>
        <w:jc w:val="left"/>
        <w:rPr>
          <w:rFonts w:ascii="仿宋_GB2312" w:hAnsi="仿宋_GB2312" w:eastAsia="仿宋_GB2312" w:cs="仿宋_GB2312"/>
          <w:color w:val="FF0000"/>
          <w:sz w:val="32"/>
          <w:szCs w:val="32"/>
        </w:rPr>
      </w:pPr>
      <w:r>
        <w:rPr>
          <w:rFonts w:hint="eastAsia" w:ascii="楷体" w:hAnsi="楷体" w:eastAsia="楷体" w:cs="楷体"/>
          <w:b/>
          <w:bCs/>
          <w:sz w:val="32"/>
          <w:szCs w:val="32"/>
        </w:rPr>
        <w:t>建设高质量教育体系。</w:t>
      </w:r>
      <w:r>
        <w:rPr>
          <w:rFonts w:hint="eastAsia" w:ascii="仿宋_GB2312" w:hAnsi="仿宋_GB2312" w:eastAsia="仿宋_GB2312" w:cs="仿宋_GB2312"/>
          <w:sz w:val="32"/>
          <w:szCs w:val="32"/>
        </w:rPr>
        <w:t>持续推进学前教育行动计划，确保公办园就读幼儿比例达</w:t>
      </w:r>
      <w:r>
        <w:rPr>
          <w:rFonts w:ascii="仿宋_GB2312" w:hAnsi="仿宋_GB2312" w:eastAsia="仿宋_GB2312" w:cs="仿宋_GB2312"/>
          <w:sz w:val="32"/>
          <w:szCs w:val="32"/>
        </w:rPr>
        <w:t>55%、普惠性幼儿园覆盖率</w:t>
      </w:r>
      <w:r>
        <w:rPr>
          <w:rFonts w:hint="eastAsia" w:ascii="仿宋_GB2312" w:hAnsi="仿宋_GB2312" w:eastAsia="仿宋_GB2312" w:cs="仿宋_GB2312"/>
          <w:sz w:val="32"/>
          <w:szCs w:val="32"/>
        </w:rPr>
        <w:t>不低于</w:t>
      </w:r>
      <w:r>
        <w:rPr>
          <w:rFonts w:ascii="仿宋_GB2312" w:hAnsi="仿宋_GB2312" w:eastAsia="仿宋_GB2312" w:cs="仿宋_GB2312"/>
          <w:sz w:val="32"/>
          <w:szCs w:val="32"/>
        </w:rPr>
        <w:t>85%。全面提高义务教育质量，实施德育工作实施方案、学校体育固本行动、学校美育提升行动、劳动教育指导纲要。在更高水平上普及普通高中教育。</w:t>
      </w:r>
      <w:r>
        <w:rPr>
          <w:rFonts w:hint="eastAsia" w:ascii="仿宋_GB2312" w:hAnsi="仿宋_GB2312" w:eastAsia="仿宋_GB2312" w:cs="仿宋_GB2312"/>
          <w:sz w:val="32"/>
          <w:szCs w:val="32"/>
        </w:rPr>
        <w:t>加大国际合作办学力度，“十四五”期间力争至少引进一家国际合作学校落户我市。支持海南软件职业技术学院专升本，建设特色鲜明的信息类应用技术型本科院校。引入社会资本新建改建职业教育学校，培养自贸港建设国际性专业人才。持续推进“一市（县）两校一园”和优质教育资源引进工程。扩大“好校长、好教师”引进规模，实施教师教育振兴工程，大力加强乡村教师队伍建设，实施基层教育人才激励机制。</w:t>
      </w:r>
      <w:r>
        <w:rPr>
          <w:rFonts w:hint="eastAsia" w:ascii="仿宋_GB2312" w:hAnsi="仿宋_GB2312" w:eastAsia="仿宋_GB2312" w:cs="仿宋_GB2312"/>
          <w:color w:val="FF0000"/>
          <w:sz w:val="32"/>
          <w:szCs w:val="32"/>
        </w:rPr>
        <w:t>支持特殊教育向学前和高中两头延伸，在公立学校选取试点开展融合教育。</w:t>
      </w:r>
    </w:p>
    <w:p>
      <w:pPr>
        <w:widowControl w:val="0"/>
        <w:spacing w:line="560" w:lineRule="exact"/>
        <w:ind w:firstLine="640"/>
        <w:rPr>
          <w:rFonts w:ascii="仿宋" w:hAnsi="仿宋" w:eastAsia="仿宋"/>
          <w:sz w:val="32"/>
          <w:szCs w:val="32"/>
        </w:rPr>
      </w:pPr>
      <w:r>
        <w:rPr>
          <w:rFonts w:hint="eastAsia" w:ascii="楷体" w:hAnsi="楷体" w:eastAsia="楷体" w:cs="楷体"/>
          <w:b/>
          <w:bCs/>
          <w:sz w:val="32"/>
          <w:szCs w:val="32"/>
        </w:rPr>
        <w:t>大力推动教育领域综合改革。</w:t>
      </w:r>
      <w:r>
        <w:rPr>
          <w:rFonts w:hint="eastAsia" w:ascii="仿宋_GB2312" w:hAnsi="仿宋_GB2312" w:eastAsia="仿宋_GB2312" w:cs="仿宋_GB2312"/>
          <w:sz w:val="32"/>
          <w:szCs w:val="32"/>
        </w:rPr>
        <w:t>重点围绕学校管理模式、学校人事管理制度、学校建设项目管理、生源招录、教学教研、教师激励机制等方面展开探索，加快出台我市教育管理制度改革一揽子方案并全力抓好落实，着力破除阻碍我市教育优质均衡发展的堵点痛点难点。通过深化改革提升学校自主管理能力，扩大学校人事工作自主权，有效排除非教学类任务对学校正常教育教学秩序的干扰，充分激发我市广大教师的教育情怀和工作热情，提升学校办学活力，推动我市教育高质量发展。</w:t>
      </w:r>
    </w:p>
    <w:p>
      <w:pPr>
        <w:pStyle w:val="15"/>
        <w:widowControl w:val="0"/>
        <w:spacing w:line="560" w:lineRule="exact"/>
        <w:rPr>
          <w:rFonts w:ascii="仿宋_GB2312" w:hAnsi="仿宋_GB2312" w:eastAsia="仿宋_GB2312" w:cs="仿宋_GB2312"/>
          <w:color w:val="auto"/>
          <w:sz w:val="32"/>
          <w:szCs w:val="32"/>
        </w:rPr>
      </w:pPr>
      <w:r>
        <w:rPr>
          <w:rFonts w:ascii="黑体" w:hAnsi="黑体" w:eastAsia="黑体" w:cs="黑体"/>
          <w:color w:val="auto"/>
          <w:sz w:val="32"/>
          <w:szCs w:val="32"/>
        </w:rPr>
        <w:t xml:space="preserve">  </w:t>
      </w:r>
      <w:r>
        <w:rPr>
          <w:rFonts w:ascii="楷体_GB2312" w:hAnsi="楷体_GB2312" w:eastAsia="楷体_GB2312" w:cs="楷体_GB2312"/>
          <w:color w:val="auto"/>
          <w:sz w:val="32"/>
          <w:szCs w:val="32"/>
        </w:rPr>
        <w:t xml:space="preserve">  </w:t>
      </w:r>
      <w:r>
        <w:rPr>
          <w:rFonts w:hint="eastAsia" w:ascii="楷体" w:hAnsi="楷体" w:eastAsia="楷体" w:cs="楷体"/>
          <w:b/>
          <w:bCs/>
          <w:color w:val="auto"/>
          <w:sz w:val="32"/>
          <w:szCs w:val="32"/>
        </w:rPr>
        <w:t>加快推进教育信息化建设。</w:t>
      </w:r>
      <w:r>
        <w:rPr>
          <w:rFonts w:hint="eastAsia" w:ascii="仿宋_GB2312" w:hAnsi="仿宋_GB2312" w:eastAsia="仿宋_GB2312" w:cs="仿宋_GB2312"/>
          <w:color w:val="auto"/>
          <w:sz w:val="32"/>
          <w:szCs w:val="32"/>
        </w:rPr>
        <w:t>以“海南教育信息化</w:t>
      </w:r>
      <w:r>
        <w:rPr>
          <w:rFonts w:ascii="仿宋_GB2312" w:hAnsi="仿宋_GB2312" w:eastAsia="仿宋_GB2312" w:cs="仿宋_GB2312"/>
          <w:color w:val="auto"/>
          <w:sz w:val="32"/>
          <w:szCs w:val="32"/>
        </w:rPr>
        <w:t>2.0工程”建设为契机，不断完善学校信息化学习环境</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实施信息化教学环境提档升级行动，</w:t>
      </w:r>
      <w:r>
        <w:rPr>
          <w:rFonts w:hint="eastAsia" w:ascii="仿宋_GB2312" w:hAnsi="仿宋_GB2312" w:eastAsia="仿宋_GB2312" w:cs="仿宋_GB2312"/>
          <w:color w:val="auto"/>
          <w:sz w:val="32"/>
          <w:szCs w:val="32"/>
        </w:rPr>
        <w:t>重点面向教学点和边远农村学校，利用信息化手段扩大优质教育资源覆盖面。持续推动中小学教育信息化应用示范校培育工程，推广</w:t>
      </w:r>
      <w:r>
        <w:rPr>
          <w:rFonts w:ascii="仿宋_GB2312" w:hAnsi="仿宋_GB2312" w:eastAsia="仿宋_GB2312" w:cs="仿宋_GB2312"/>
          <w:color w:val="auto"/>
          <w:sz w:val="32"/>
          <w:szCs w:val="32"/>
        </w:rPr>
        <w:t>5G网络教育应用试点。实施中小幼教师信息技术应用能力提升工程，推进中小学信息科技课程建设，强化信息技术教学，探索实施中小学生信息素养测评</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着力提高师生信息素养。应用新技术赋能教育管理全流程，解决教育管理中存在的关键问题，加强教育数据与技术标准建设，打通不同区域教育资源之间的应用壁垒。</w:t>
      </w:r>
    </w:p>
    <w:tbl>
      <w:tblPr>
        <w:tblStyle w:val="1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288" w:type="dxa"/>
          </w:tcPr>
          <w:p>
            <w:pPr>
              <w:widowControl w:val="0"/>
              <w:spacing w:line="460" w:lineRule="exact"/>
              <w:jc w:val="center"/>
              <w:rPr>
                <w:rFonts w:ascii="Times New Roman" w:hAnsi="Times New Roman" w:eastAsia="黑体"/>
                <w:b/>
                <w:sz w:val="28"/>
                <w:szCs w:val="28"/>
              </w:rPr>
            </w:pPr>
            <w:r>
              <w:rPr>
                <w:rFonts w:hint="eastAsia" w:ascii="黑体" w:hAnsi="黑体" w:eastAsia="黑体"/>
                <w:b/>
                <w:sz w:val="28"/>
                <w:szCs w:val="28"/>
              </w:rPr>
              <w:t>专栏</w:t>
            </w:r>
            <w:r>
              <w:rPr>
                <w:rFonts w:ascii="黑体" w:hAnsi="黑体" w:eastAsia="黑体"/>
                <w:b/>
                <w:sz w:val="28"/>
                <w:szCs w:val="28"/>
              </w:rPr>
              <w:t>2</w:t>
            </w:r>
            <w:r>
              <w:rPr>
                <w:rFonts w:hint="eastAsia" w:ascii="黑体" w:hAnsi="黑体" w:eastAsia="黑体"/>
                <w:b/>
                <w:sz w:val="28"/>
                <w:szCs w:val="28"/>
              </w:rPr>
              <w:t>2</w:t>
            </w:r>
            <w:r>
              <w:rPr>
                <w:rFonts w:ascii="黑体" w:hAnsi="黑体" w:eastAsia="黑体"/>
                <w:b/>
                <w:sz w:val="28"/>
                <w:szCs w:val="28"/>
              </w:rPr>
              <w:t>：“十四五”时期琼海市教育规划重点工程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8" w:type="dxa"/>
          </w:tcPr>
          <w:p>
            <w:pPr>
              <w:widowControl w:val="0"/>
              <w:spacing w:line="52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01.琼海中学</w:t>
            </w:r>
          </w:p>
          <w:p>
            <w:pPr>
              <w:widowControl w:val="0"/>
              <w:spacing w:line="520" w:lineRule="exact"/>
              <w:ind w:firstLine="540" w:firstLineChars="193"/>
              <w:rPr>
                <w:rFonts w:ascii="仿宋_GB2312" w:hAnsi="仿宋_GB2312" w:eastAsia="仿宋_GB2312" w:cs="仿宋_GB2312"/>
                <w:sz w:val="28"/>
                <w:szCs w:val="28"/>
              </w:rPr>
            </w:pPr>
            <w:r>
              <w:rPr>
                <w:rFonts w:hint="eastAsia" w:ascii="仿宋_GB2312" w:hAnsi="仿宋_GB2312" w:eastAsia="仿宋_GB2312" w:cs="仿宋_GB2312"/>
                <w:sz w:val="28"/>
                <w:szCs w:val="28"/>
              </w:rPr>
              <w:t>新建完全中学1所，包括综合楼、教学楼、食堂及活动中心、教师宿舍、学生宿舍、体育馆、电房、门卫室、垃圾房等。</w:t>
            </w:r>
          </w:p>
          <w:p>
            <w:pPr>
              <w:widowControl w:val="0"/>
              <w:spacing w:line="52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02.海淀外国语学校二期</w:t>
            </w:r>
          </w:p>
          <w:p>
            <w:pPr>
              <w:widowControl w:val="0"/>
              <w:spacing w:line="520" w:lineRule="exact"/>
              <w:ind w:firstLine="540" w:firstLineChars="193"/>
              <w:rPr>
                <w:rFonts w:ascii="楷体_GB2312" w:hAnsi="楷体_GB2312" w:eastAsia="楷体_GB2312" w:cs="楷体_GB2312"/>
                <w:b/>
                <w:sz w:val="28"/>
                <w:szCs w:val="28"/>
              </w:rPr>
            </w:pPr>
            <w:r>
              <w:rPr>
                <w:rFonts w:hint="eastAsia" w:ascii="仿宋_GB2312" w:hAnsi="仿宋_GB2312" w:eastAsia="仿宋_GB2312" w:cs="仿宋_GB2312"/>
                <w:sz w:val="28"/>
                <w:szCs w:val="28"/>
              </w:rPr>
              <w:t>设置学位3500个，建设学生宿舍楼、教学楼、艺术中心、行政办公楼、教师公寓楼，配套完善校园实践设施.运动场地等内容。</w:t>
            </w:r>
          </w:p>
          <w:p>
            <w:pPr>
              <w:widowControl w:val="0"/>
              <w:spacing w:line="52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03.大坡小学二期</w:t>
            </w:r>
          </w:p>
          <w:p>
            <w:pPr>
              <w:widowControl w:val="0"/>
              <w:spacing w:line="520" w:lineRule="exact"/>
              <w:ind w:firstLine="540" w:firstLineChars="193"/>
              <w:rPr>
                <w:rFonts w:ascii="仿宋_GB2312" w:hAnsi="仿宋_GB2312" w:eastAsia="仿宋_GB2312" w:cs="仿宋_GB2312"/>
                <w:sz w:val="28"/>
                <w:szCs w:val="28"/>
              </w:rPr>
            </w:pPr>
            <w:r>
              <w:rPr>
                <w:rFonts w:hint="eastAsia" w:ascii="仿宋_GB2312" w:hAnsi="仿宋_GB2312" w:eastAsia="仿宋_GB2312" w:cs="仿宋_GB2312"/>
                <w:sz w:val="28"/>
                <w:szCs w:val="28"/>
              </w:rPr>
              <w:t>完善大坡小学设施建设，新建1.8万㎡的校舍及室外附属设施等。</w:t>
            </w:r>
          </w:p>
          <w:p>
            <w:pPr>
              <w:widowControl w:val="0"/>
              <w:spacing w:line="52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04.</w:t>
            </w:r>
            <w:r>
              <w:rPr>
                <w:rFonts w:hint="eastAsia" w:ascii="楷体_GB2312" w:hAnsi="楷体_GB2312" w:eastAsia="楷体_GB2312" w:cs="楷体_GB2312"/>
                <w:b/>
                <w:sz w:val="28"/>
                <w:szCs w:val="28"/>
              </w:rPr>
              <w:t>继续教育基地工程</w:t>
            </w:r>
          </w:p>
          <w:p>
            <w:pPr>
              <w:widowControl w:val="0"/>
              <w:spacing w:line="520" w:lineRule="exact"/>
              <w:ind w:firstLine="540" w:firstLineChars="193"/>
              <w:rPr>
                <w:rFonts w:ascii="仿宋_GB2312" w:hAnsi="仿宋_GB2312" w:eastAsia="仿宋_GB2312" w:cs="仿宋_GB2312"/>
                <w:sz w:val="28"/>
                <w:szCs w:val="28"/>
              </w:rPr>
            </w:pPr>
            <w:r>
              <w:rPr>
                <w:rFonts w:hint="eastAsia" w:ascii="仿宋_GB2312" w:hAnsi="仿宋_GB2312" w:eastAsia="仿宋_GB2312" w:cs="仿宋_GB2312"/>
                <w:sz w:val="28"/>
                <w:szCs w:val="28"/>
              </w:rPr>
              <w:t>新建教育继续培训中心，包括综合楼、教学楼、食堂宿舍及室外附属设施等。</w:t>
            </w:r>
          </w:p>
          <w:p>
            <w:pPr>
              <w:widowControl w:val="0"/>
              <w:spacing w:line="52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05.</w:t>
            </w:r>
            <w:r>
              <w:rPr>
                <w:rFonts w:hint="eastAsia" w:ascii="楷体_GB2312" w:hAnsi="楷体_GB2312" w:eastAsia="楷体_GB2312" w:cs="楷体_GB2312"/>
                <w:b/>
                <w:sz w:val="28"/>
                <w:szCs w:val="28"/>
              </w:rPr>
              <w:t>青少年业余体校工程</w:t>
            </w:r>
          </w:p>
          <w:p>
            <w:pPr>
              <w:widowControl w:val="0"/>
              <w:spacing w:line="520" w:lineRule="exact"/>
              <w:ind w:firstLine="540" w:firstLineChars="193"/>
              <w:rPr>
                <w:rFonts w:ascii="仿宋_GB2312" w:hAnsi="仿宋_GB2312" w:eastAsia="仿宋_GB2312" w:cs="仿宋_GB2312"/>
                <w:sz w:val="28"/>
                <w:szCs w:val="28"/>
              </w:rPr>
            </w:pPr>
            <w:r>
              <w:rPr>
                <w:rFonts w:hint="eastAsia" w:ascii="仿宋_GB2312" w:hAnsi="仿宋_GB2312" w:eastAsia="仿宋_GB2312" w:cs="仿宋_GB2312"/>
                <w:sz w:val="28"/>
                <w:szCs w:val="28"/>
              </w:rPr>
              <w:t>新建业余体校1所，包括教学楼、宿舍、训练场及室外附属设施等。</w:t>
            </w:r>
          </w:p>
          <w:p>
            <w:pPr>
              <w:widowControl w:val="0"/>
              <w:spacing w:line="520" w:lineRule="exact"/>
              <w:ind w:firstLine="542" w:firstLineChars="193"/>
              <w:rPr>
                <w:rFonts w:ascii="楷体_GB2312" w:hAnsi="楷体_GB2312" w:eastAsia="楷体_GB2312" w:cs="楷体_GB2312"/>
                <w:b/>
                <w:bCs/>
                <w:sz w:val="28"/>
                <w:szCs w:val="28"/>
              </w:rPr>
            </w:pPr>
            <w:r>
              <w:rPr>
                <w:rFonts w:ascii="楷体_GB2312" w:hAnsi="楷体_GB2312" w:eastAsia="楷体_GB2312" w:cs="楷体_GB2312"/>
                <w:b/>
                <w:bCs/>
                <w:sz w:val="28"/>
                <w:szCs w:val="28"/>
              </w:rPr>
              <w:t>06.</w:t>
            </w:r>
            <w:r>
              <w:rPr>
                <w:rFonts w:hint="eastAsia" w:ascii="楷体_GB2312" w:hAnsi="楷体_GB2312" w:eastAsia="楷体_GB2312" w:cs="楷体_GB2312"/>
                <w:b/>
                <w:bCs/>
                <w:sz w:val="28"/>
                <w:szCs w:val="28"/>
              </w:rPr>
              <w:t>海南软件职业技术学院新校区工程</w:t>
            </w:r>
          </w:p>
          <w:p>
            <w:pPr>
              <w:widowControl w:val="0"/>
              <w:spacing w:line="520" w:lineRule="exact"/>
              <w:ind w:firstLine="540" w:firstLineChars="193"/>
              <w:rPr>
                <w:rFonts w:ascii="仿宋_GB2312" w:hAnsi="仿宋_GB2312" w:eastAsia="仿宋_GB2312" w:cs="仿宋_GB2312"/>
                <w:sz w:val="28"/>
                <w:szCs w:val="28"/>
              </w:rPr>
            </w:pPr>
            <w:r>
              <w:rPr>
                <w:rFonts w:hint="eastAsia" w:ascii="仿宋_GB2312" w:hAnsi="仿宋_GB2312" w:eastAsia="仿宋_GB2312" w:cs="仿宋_GB2312"/>
                <w:sz w:val="28"/>
                <w:szCs w:val="28"/>
              </w:rPr>
              <w:t>支持海南软件职业技术学院建设新校区，包括综合楼、教学楼、实训楼、培训中心、食堂及活动中心、教师宿舍、学生宿舍、体育馆、电房、门卫室等建筑。</w:t>
            </w:r>
          </w:p>
          <w:p>
            <w:pPr>
              <w:widowControl w:val="0"/>
              <w:spacing w:line="520" w:lineRule="exact"/>
              <w:ind w:firstLine="542" w:firstLineChars="193"/>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07.嘉积第三中学扩建工程</w:t>
            </w:r>
          </w:p>
          <w:p>
            <w:pPr>
              <w:widowControl w:val="0"/>
              <w:spacing w:line="520" w:lineRule="exact"/>
              <w:ind w:firstLine="540" w:firstLineChars="193"/>
              <w:rPr>
                <w:rFonts w:ascii="仿宋_GB2312" w:hAnsi="仿宋_GB2312" w:eastAsia="仿宋_GB2312" w:cs="仿宋_GB2312"/>
                <w:sz w:val="28"/>
                <w:szCs w:val="28"/>
              </w:rPr>
            </w:pPr>
            <w:r>
              <w:rPr>
                <w:rFonts w:hint="eastAsia" w:ascii="仿宋_GB2312" w:hAnsi="仿宋_GB2312" w:eastAsia="仿宋_GB2312" w:cs="仿宋_GB2312"/>
                <w:sz w:val="28"/>
                <w:szCs w:val="28"/>
              </w:rPr>
              <w:t>新建教学楼、学生宿舍等，同时配套运动场及室外配套。</w:t>
            </w:r>
          </w:p>
          <w:p>
            <w:pPr>
              <w:widowControl w:val="0"/>
              <w:spacing w:line="520" w:lineRule="exact"/>
              <w:ind w:firstLine="542" w:firstLineChars="193"/>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08.学前教育建设工程</w:t>
            </w:r>
          </w:p>
          <w:p>
            <w:pPr>
              <w:widowControl w:val="0"/>
              <w:spacing w:line="520" w:lineRule="exact"/>
              <w:ind w:firstLine="540" w:firstLineChars="193"/>
              <w:rPr>
                <w:rFonts w:ascii="仿宋_GB2312" w:hAnsi="仿宋_GB2312" w:eastAsia="仿宋_GB2312" w:cs="仿宋_GB2312"/>
                <w:sz w:val="28"/>
                <w:szCs w:val="28"/>
              </w:rPr>
            </w:pPr>
            <w:r>
              <w:rPr>
                <w:rFonts w:hint="eastAsia" w:ascii="仿宋_GB2312" w:hAnsi="仿宋_GB2312" w:eastAsia="仿宋_GB2312" w:cs="仿宋_GB2312"/>
                <w:sz w:val="28"/>
                <w:szCs w:val="28"/>
              </w:rPr>
              <w:t>新建大坡幼儿园、南堀幼儿园、勇敢幼儿园、东红幼儿园、东太幼儿园和千秋幼儿园等公办幼儿园。</w:t>
            </w:r>
          </w:p>
          <w:p>
            <w:pPr>
              <w:pStyle w:val="10"/>
              <w:widowControl w:val="0"/>
              <w:spacing w:after="0" w:line="520" w:lineRule="exact"/>
              <w:ind w:left="0" w:leftChars="0"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09.教师周转宿舍工程</w:t>
            </w:r>
          </w:p>
          <w:p>
            <w:pPr>
              <w:pStyle w:val="10"/>
              <w:widowControl w:val="0"/>
              <w:spacing w:after="0" w:line="520" w:lineRule="exact"/>
              <w:ind w:left="0" w:leftChars="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建设大路中学、题榜小学、新市小学、大礼小学、福头小学、彬村山第三小学、市华侨中学、塔洋镇中心幼儿园、龙江镇中心幼儿园、大路镇中心幼儿园分园、新市幼儿园等11所学校教师周转宿舍。</w:t>
            </w:r>
          </w:p>
          <w:p>
            <w:pPr>
              <w:pStyle w:val="10"/>
              <w:widowControl w:val="0"/>
              <w:spacing w:after="0" w:line="520" w:lineRule="exact"/>
              <w:ind w:left="0" w:leftChars="0"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10.教育现代化建设工程</w:t>
            </w:r>
          </w:p>
          <w:p>
            <w:pPr>
              <w:widowControl w:val="0"/>
              <w:spacing w:line="520" w:lineRule="exact"/>
              <w:ind w:firstLine="540" w:firstLineChars="193"/>
            </w:pPr>
            <w:r>
              <w:rPr>
                <w:rFonts w:hint="eastAsia" w:ascii="仿宋_GB2312" w:hAnsi="仿宋_GB2312" w:eastAsia="仿宋_GB2312" w:cs="仿宋_GB2312"/>
                <w:sz w:val="28"/>
                <w:szCs w:val="28"/>
              </w:rPr>
              <w:t>持续推进中小学教育现代化建设工程，包括宿舍楼、教学楼、运动场等。</w:t>
            </w:r>
          </w:p>
        </w:tc>
      </w:tr>
    </w:tbl>
    <w:p>
      <w:pPr>
        <w:pStyle w:val="9"/>
        <w:widowControl w:val="0"/>
        <w:spacing w:line="560" w:lineRule="exact"/>
        <w:ind w:left="1080"/>
        <w:outlineLvl w:val="1"/>
        <w:rPr>
          <w:rFonts w:ascii="楷体" w:hAnsi="楷体" w:eastAsia="楷体"/>
        </w:rPr>
      </w:pPr>
      <w:bookmarkStart w:id="554" w:name="_Toc23712"/>
      <w:bookmarkStart w:id="555" w:name="_Toc13450"/>
      <w:bookmarkStart w:id="556" w:name="_Toc5321"/>
      <w:bookmarkStart w:id="557" w:name="_Toc25446"/>
      <w:bookmarkStart w:id="558" w:name="_Toc7279"/>
      <w:bookmarkStart w:id="559" w:name="_Toc27819"/>
      <w:bookmarkStart w:id="560" w:name="_Toc317"/>
      <w:bookmarkStart w:id="561" w:name="_Toc12185"/>
      <w:bookmarkStart w:id="562" w:name="_Toc56346990"/>
      <w:bookmarkStart w:id="563" w:name="_Toc28431"/>
      <w:bookmarkStart w:id="564" w:name="_Toc22821"/>
      <w:r>
        <w:rPr>
          <w:rFonts w:hint="eastAsia" w:ascii="楷体" w:hAnsi="楷体" w:eastAsia="楷体"/>
        </w:rPr>
        <w:t>第二节</w:t>
      </w:r>
      <w:r>
        <w:rPr>
          <w:rFonts w:ascii="楷体" w:hAnsi="楷体" w:eastAsia="楷体"/>
        </w:rPr>
        <w:t xml:space="preserve">  </w:t>
      </w:r>
      <w:r>
        <w:rPr>
          <w:rFonts w:hint="eastAsia" w:ascii="楷体" w:hAnsi="楷体" w:eastAsia="楷体"/>
        </w:rPr>
        <w:t>建设健康琼海</w:t>
      </w:r>
      <w:bookmarkEnd w:id="554"/>
      <w:bookmarkEnd w:id="555"/>
      <w:bookmarkEnd w:id="556"/>
      <w:bookmarkEnd w:id="557"/>
      <w:bookmarkEnd w:id="558"/>
      <w:bookmarkEnd w:id="559"/>
      <w:bookmarkEnd w:id="560"/>
      <w:bookmarkEnd w:id="561"/>
      <w:bookmarkEnd w:id="562"/>
      <w:bookmarkEnd w:id="563"/>
      <w:bookmarkEnd w:id="564"/>
    </w:p>
    <w:p>
      <w:pPr>
        <w:pStyle w:val="3"/>
        <w:widowControl w:val="0"/>
        <w:spacing w:line="560" w:lineRule="exact"/>
        <w:ind w:firstLine="642" w:firstLineChars="200"/>
        <w:rPr>
          <w:rFonts w:ascii="楷体" w:hAnsi="楷体" w:eastAsia="楷体"/>
          <w:sz w:val="32"/>
          <w:szCs w:val="32"/>
        </w:rPr>
      </w:pPr>
      <w:r>
        <w:rPr>
          <w:rFonts w:hint="eastAsia" w:ascii="楷体_GB2312" w:hAnsi="楷体_GB2312" w:eastAsia="楷体_GB2312" w:cs="楷体_GB2312"/>
          <w:b/>
          <w:bCs/>
          <w:sz w:val="32"/>
          <w:szCs w:val="32"/>
        </w:rPr>
        <w:t>巩固深化“国家卫生城市”创建成果。</w:t>
      </w:r>
      <w:r>
        <w:rPr>
          <w:rFonts w:hint="eastAsia" w:ascii="仿宋_GB2312" w:hAnsi="仿宋_GB2312" w:eastAsia="仿宋_GB2312" w:cs="仿宋_GB2312"/>
          <w:bCs/>
          <w:sz w:val="32"/>
          <w:szCs w:val="32"/>
        </w:rPr>
        <w:t>广泛开展爱国卫生运动，全面提升城乡环境面貌，普及文明健康、绿色环保的生活方式，不断巩固扩展国家卫生城市创建成果。全面推进城乡环境卫生综合整治，建立健全环境卫生管理长效机制，补齐公共卫生环境短板。健全病媒生物监测网络，积极开展以环境治理为主、药物防制为辅的病媒生物防制工作。积极推进健康城市试点，广泛开展健康村镇、健康社区、健康单位(企业)、健康学校、健康家庭等健康细胞(健康促进场所)建设，将我市建设成为全国健康城市的示范样板。</w:t>
      </w:r>
    </w:p>
    <w:p>
      <w:pPr>
        <w:widowControl w:val="0"/>
        <w:spacing w:line="560" w:lineRule="exact"/>
        <w:ind w:firstLine="642" w:firstLineChars="200"/>
        <w:rPr>
          <w:rFonts w:ascii="仿宋" w:hAnsi="仿宋" w:eastAsia="仿宋" w:cs="仿宋_GB2312"/>
          <w:sz w:val="32"/>
          <w:szCs w:val="32"/>
        </w:rPr>
      </w:pPr>
      <w:r>
        <w:rPr>
          <w:rFonts w:hint="eastAsia" w:ascii="楷体" w:hAnsi="楷体" w:eastAsia="楷体"/>
          <w:b/>
          <w:bCs/>
          <w:sz w:val="32"/>
          <w:szCs w:val="32"/>
        </w:rPr>
        <w:t>全面实施健康琼海行动。</w:t>
      </w:r>
      <w:r>
        <w:rPr>
          <w:rFonts w:hint="eastAsia" w:ascii="仿宋_GB2312" w:hAnsi="仿宋_GB2312" w:eastAsia="仿宋_GB2312" w:cs="仿宋_GB2312"/>
          <w:sz w:val="32"/>
          <w:szCs w:val="32"/>
        </w:rPr>
        <w:t>把保障人民健康放在优先发展的战略地位，建立健全传染病和突发公共卫生事件监测预警体系、应急响应平台和决策指挥系统，提高早期预防、风险研判和及时处置能力。提升健康教育，重视精神卫生和心理健康，倡导健康饮食文化和良好生活习惯。完善重大活动食品安全保障监督机制，加强重大活动食品安全保障能力建设，提高食品检测业务水平，完善重大活动食品安全保障监督机制，为琼海打造“国际旅游会展目的地”</w:t>
      </w:r>
      <w:r>
        <w:rPr>
          <w:rFonts w:ascii="仿宋_GB2312" w:hAnsi="仿宋_GB2312" w:eastAsia="仿宋_GB2312" w:cs="仿宋_GB2312"/>
          <w:sz w:val="32"/>
          <w:szCs w:val="32"/>
        </w:rPr>
        <w:t>提供食品安全保障。扎实推进“阳光餐饮+智慧监管”工作，提高餐饮服务经营者的主体责</w:t>
      </w:r>
      <w:r>
        <w:rPr>
          <w:rFonts w:hint="eastAsia" w:ascii="仿宋_GB2312" w:hAnsi="仿宋_GB2312" w:eastAsia="仿宋_GB2312" w:cs="仿宋_GB2312"/>
          <w:sz w:val="32"/>
          <w:szCs w:val="32"/>
        </w:rPr>
        <w:t>任意识，提升食品安全智慧监管能力，推动社会共治建设工作。</w:t>
      </w:r>
    </w:p>
    <w:p>
      <w:pPr>
        <w:widowControl w:val="0"/>
        <w:spacing w:line="560" w:lineRule="exact"/>
        <w:ind w:firstLine="64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深化医疗保障制度改革。</w:t>
      </w:r>
      <w:r>
        <w:rPr>
          <w:rFonts w:hint="eastAsia" w:ascii="仿宋_GB2312" w:hAnsi="仿宋_GB2312" w:eastAsia="仿宋_GB2312" w:cs="仿宋_GB2312"/>
          <w:sz w:val="32"/>
          <w:szCs w:val="32"/>
        </w:rPr>
        <w:t>保持医疗保障扶贫政策持续有效，建立因病致贫和返贫长效机制，防止因病致贫返贫。深入推进基本医疗保险支付方式改革和药品、医用耗材集中带量采购制度改革，完善医疗服务价格形成机制。推进全国医共体试点市建设，将市人民医院、市中医院和全市18家卫生院（社区卫生服务中心）以及所有的村卫生室，打造成群众共享健康红利的“紧密型医共体”。</w:t>
      </w:r>
    </w:p>
    <w:p>
      <w:pPr>
        <w:widowControl w:val="0"/>
        <w:spacing w:line="560" w:lineRule="exact"/>
        <w:ind w:firstLine="64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全面提升医疗卫生服务能力和水平。</w:t>
      </w:r>
      <w:r>
        <w:rPr>
          <w:rFonts w:hint="eastAsia" w:ascii="仿宋_GB2312" w:hAnsi="仿宋_GB2312" w:eastAsia="仿宋_GB2312" w:cs="仿宋_GB2312"/>
          <w:sz w:val="32"/>
          <w:szCs w:val="32"/>
        </w:rPr>
        <w:t>构建面向全市全民、覆盖全生命周期的健康管理体系，落实居民健康档案等国家基本公共卫生服务项目。加强医疗人才的引进和培养。深入推进基本医疗保险支付方式改革和药品、医用耗材集中带量采购制度改革，完善医药服务价格形成机制。全面推进基层医疗机构标准化建设，打造“东西南北中”五个二级社区医院，大力提升村卫生室服务能力，实现标准化卫生室全覆盖。</w:t>
      </w:r>
    </w:p>
    <w:p>
      <w:pPr>
        <w:widowControl w:val="0"/>
        <w:spacing w:line="560" w:lineRule="exact"/>
        <w:ind w:firstLine="642" w:firstLineChars="200"/>
        <w:rPr>
          <w:rFonts w:ascii="仿宋_GB2312" w:hAnsi="仿宋_GB2312" w:eastAsia="仿宋_GB2312" w:cs="仿宋_GB2312"/>
          <w:bCs/>
          <w:sz w:val="32"/>
          <w:szCs w:val="32"/>
        </w:rPr>
      </w:pPr>
      <w:r>
        <w:rPr>
          <w:rFonts w:hint="eastAsia" w:ascii="楷体_GB2312" w:hAnsi="楷体_GB2312" w:eastAsia="楷体_GB2312" w:cs="楷体_GB2312"/>
          <w:b/>
          <w:bCs/>
          <w:sz w:val="32"/>
          <w:szCs w:val="32"/>
        </w:rPr>
        <w:t>建设东部区域医疗卫生中心。</w:t>
      </w:r>
      <w:r>
        <w:rPr>
          <w:rFonts w:hint="eastAsia" w:ascii="仿宋_GB2312" w:hAnsi="仿宋_GB2312" w:eastAsia="仿宋_GB2312" w:cs="仿宋_GB2312"/>
          <w:sz w:val="32"/>
          <w:szCs w:val="32"/>
        </w:rPr>
        <w:t>加大医疗卫生投入力度，把琼海打造成为海南省东部区域医疗中心、东部区域中医药服务中心、东部区域妇幼保健中心、东部区域疾病预防控制中心、东部区域急救中心等五大东部区域医疗卫生中心，全面提升国际化海南东部中心城市健康医疗服务水平。</w:t>
      </w:r>
      <w:r>
        <w:rPr>
          <w:rFonts w:hint="eastAsia" w:ascii="仿宋_GB2312" w:hAnsi="仿宋_GB2312" w:eastAsia="仿宋_GB2312" w:cs="仿宋_GB2312"/>
          <w:bCs/>
          <w:sz w:val="32"/>
          <w:szCs w:val="32"/>
        </w:rPr>
        <w:t>依托博鳌乐城国际医疗旅游先行区高端要素集聚优势，辐射周边区域、全省至全国，将琼海打造成为全球领先的康养中心、康养人才聚集区和世界一流的康养服务区和气候医疗服务区，带动全省康养产业高水平发展。</w:t>
      </w:r>
    </w:p>
    <w:tbl>
      <w:tblPr>
        <w:tblStyle w:val="1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288" w:type="dxa"/>
          </w:tcPr>
          <w:p>
            <w:pPr>
              <w:widowControl w:val="0"/>
              <w:spacing w:line="460" w:lineRule="exact"/>
              <w:jc w:val="center"/>
              <w:rPr>
                <w:rFonts w:ascii="Times New Roman" w:hAnsi="Times New Roman" w:eastAsia="黑体"/>
                <w:b/>
                <w:sz w:val="28"/>
                <w:szCs w:val="28"/>
              </w:rPr>
            </w:pPr>
            <w:r>
              <w:rPr>
                <w:rFonts w:hint="eastAsia" w:ascii="黑体" w:hAnsi="黑体" w:eastAsia="黑体"/>
                <w:b/>
                <w:sz w:val="28"/>
                <w:szCs w:val="28"/>
              </w:rPr>
              <w:t>专栏</w:t>
            </w:r>
            <w:r>
              <w:rPr>
                <w:rFonts w:ascii="黑体" w:hAnsi="黑体" w:eastAsia="黑体"/>
                <w:b/>
                <w:sz w:val="28"/>
                <w:szCs w:val="28"/>
              </w:rPr>
              <w:t>2</w:t>
            </w:r>
            <w:r>
              <w:rPr>
                <w:rFonts w:hint="eastAsia" w:ascii="黑体" w:hAnsi="黑体" w:eastAsia="黑体"/>
                <w:b/>
                <w:sz w:val="28"/>
                <w:szCs w:val="28"/>
              </w:rPr>
              <w:t>3</w:t>
            </w:r>
            <w:r>
              <w:rPr>
                <w:rFonts w:ascii="黑体" w:hAnsi="黑体" w:eastAsia="黑体"/>
                <w:b/>
                <w:sz w:val="28"/>
                <w:szCs w:val="28"/>
              </w:rPr>
              <w:t>：“十四五”时期琼海市医疗</w:t>
            </w:r>
            <w:r>
              <w:rPr>
                <w:rFonts w:hint="eastAsia" w:ascii="黑体" w:hAnsi="黑体" w:eastAsia="黑体"/>
                <w:b/>
                <w:sz w:val="28"/>
                <w:szCs w:val="28"/>
              </w:rPr>
              <w:t>卫生</w:t>
            </w:r>
            <w:r>
              <w:rPr>
                <w:rFonts w:ascii="黑体" w:hAnsi="黑体" w:eastAsia="黑体"/>
                <w:b/>
                <w:sz w:val="28"/>
                <w:szCs w:val="28"/>
              </w:rPr>
              <w:t>事业发展重点工程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8" w:type="dxa"/>
          </w:tcPr>
          <w:p>
            <w:pPr>
              <w:widowControl w:val="0"/>
              <w:spacing w:line="52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01.落实省“一县一院”工程</w:t>
            </w:r>
          </w:p>
          <w:p>
            <w:pPr>
              <w:widowControl w:val="0"/>
              <w:spacing w:line="520" w:lineRule="exact"/>
              <w:ind w:firstLine="540" w:firstLineChars="193"/>
              <w:rPr>
                <w:rFonts w:ascii="仿宋_GB2312" w:hAnsi="仿宋_GB2312" w:eastAsia="仿宋_GB2312" w:cs="仿宋_GB2312"/>
                <w:sz w:val="28"/>
                <w:szCs w:val="28"/>
              </w:rPr>
            </w:pPr>
            <w:r>
              <w:rPr>
                <w:rFonts w:hint="eastAsia" w:ascii="仿宋_GB2312" w:hAnsi="仿宋_GB2312" w:eastAsia="仿宋_GB2312" w:cs="仿宋_GB2312"/>
                <w:sz w:val="28"/>
                <w:szCs w:val="28"/>
              </w:rPr>
              <w:t>支持市人民医院提升改造成为省级水平的医院。</w:t>
            </w:r>
          </w:p>
          <w:p>
            <w:pPr>
              <w:widowControl w:val="0"/>
              <w:spacing w:line="52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02.市妇幼保健院新院区暨妇女儿童医院新建项目（二期）</w:t>
            </w:r>
          </w:p>
          <w:p>
            <w:pPr>
              <w:widowControl w:val="0"/>
              <w:spacing w:line="520" w:lineRule="exact"/>
              <w:ind w:firstLine="540" w:firstLineChars="193"/>
              <w:rPr>
                <w:rFonts w:ascii="仿宋_GB2312" w:hAnsi="仿宋_GB2312" w:eastAsia="仿宋_GB2312" w:cs="仿宋_GB2312"/>
                <w:sz w:val="28"/>
                <w:szCs w:val="28"/>
              </w:rPr>
            </w:pPr>
            <w:r>
              <w:rPr>
                <w:rFonts w:hint="eastAsia" w:ascii="仿宋_GB2312" w:hAnsi="仿宋_GB2312" w:eastAsia="仿宋_GB2312" w:cs="仿宋_GB2312"/>
                <w:sz w:val="28"/>
                <w:szCs w:val="28"/>
              </w:rPr>
              <w:t>建设1栋地上9层，地下1层住院综合楼，共设置床位300张。</w:t>
            </w:r>
          </w:p>
          <w:p>
            <w:pPr>
              <w:widowControl w:val="0"/>
              <w:spacing w:line="52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03.琼海市中医院二期工程（住院楼、中医医养结合中心楼）</w:t>
            </w:r>
          </w:p>
          <w:p>
            <w:pPr>
              <w:widowControl w:val="0"/>
              <w:spacing w:line="520" w:lineRule="exact"/>
              <w:ind w:firstLine="540" w:firstLineChars="193"/>
              <w:rPr>
                <w:rFonts w:ascii="仿宋_GB2312" w:hAnsi="仿宋_GB2312" w:eastAsia="仿宋_GB2312" w:cs="仿宋_GB2312"/>
                <w:sz w:val="28"/>
                <w:szCs w:val="28"/>
              </w:rPr>
            </w:pPr>
            <w:r>
              <w:rPr>
                <w:rFonts w:hint="eastAsia" w:ascii="仿宋_GB2312" w:hAnsi="仿宋_GB2312" w:eastAsia="仿宋_GB2312" w:cs="仿宋_GB2312"/>
                <w:sz w:val="28"/>
                <w:szCs w:val="28"/>
              </w:rPr>
              <w:t>建设住院楼、中医医养结合中心楼各一座。其中，住院楼共十二层，地上十一层，地下人防停车场一层；中医医养结合中心楼共八层，地上七层，地下人防停车场一层。</w:t>
            </w:r>
          </w:p>
          <w:p>
            <w:pPr>
              <w:widowControl w:val="0"/>
              <w:spacing w:line="52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04.东部区域疾控中心项目</w:t>
            </w:r>
          </w:p>
          <w:p>
            <w:pPr>
              <w:widowControl w:val="0"/>
              <w:spacing w:line="520" w:lineRule="exact"/>
              <w:ind w:firstLine="540" w:firstLineChars="193"/>
              <w:rPr>
                <w:rFonts w:ascii="仿宋_GB2312" w:hAnsi="仿宋_GB2312" w:eastAsia="仿宋_GB2312" w:cs="仿宋_GB2312"/>
                <w:sz w:val="28"/>
                <w:szCs w:val="28"/>
              </w:rPr>
            </w:pPr>
            <w:r>
              <w:rPr>
                <w:rFonts w:hint="eastAsia" w:ascii="仿宋_GB2312" w:hAnsi="仿宋_GB2312" w:eastAsia="仿宋_GB2312" w:cs="仿宋_GB2312"/>
                <w:sz w:val="28"/>
                <w:szCs w:val="28"/>
              </w:rPr>
              <w:t>建设东部区域疾控中心。包括疾控业务大楼、实验和科研大楼、地下室、教学培训和后勤保障大楼等。</w:t>
            </w:r>
          </w:p>
          <w:p>
            <w:pPr>
              <w:pStyle w:val="15"/>
              <w:widowControl w:val="0"/>
              <w:spacing w:line="520" w:lineRule="exact"/>
              <w:ind w:firstLine="562" w:firstLineChars="200"/>
              <w:jc w:val="both"/>
              <w:rPr>
                <w:rFonts w:ascii="楷体_GB2312" w:hAnsi="楷体_GB2312" w:eastAsia="楷体_GB2312" w:cs="楷体_GB2312"/>
                <w:b/>
                <w:color w:val="auto"/>
                <w:sz w:val="28"/>
                <w:szCs w:val="28"/>
              </w:rPr>
            </w:pPr>
            <w:r>
              <w:rPr>
                <w:rFonts w:ascii="楷体_GB2312" w:hAnsi="楷体_GB2312" w:eastAsia="楷体_GB2312" w:cs="楷体_GB2312"/>
                <w:b/>
                <w:color w:val="auto"/>
                <w:sz w:val="28"/>
                <w:szCs w:val="28"/>
              </w:rPr>
              <w:t>05.市人民医院平战结合可转换病房大楼建设工程</w:t>
            </w:r>
          </w:p>
          <w:p>
            <w:pPr>
              <w:pStyle w:val="15"/>
              <w:widowControl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新建一栋平战结合感染科大楼。</w:t>
            </w:r>
          </w:p>
          <w:p>
            <w:pPr>
              <w:pStyle w:val="15"/>
              <w:widowControl w:val="0"/>
              <w:spacing w:line="520" w:lineRule="exact"/>
              <w:ind w:firstLine="562" w:firstLineChars="200"/>
              <w:jc w:val="both"/>
              <w:rPr>
                <w:rFonts w:ascii="楷体_GB2312" w:hAnsi="楷体_GB2312" w:eastAsia="楷体_GB2312" w:cs="楷体_GB2312"/>
                <w:b/>
                <w:color w:val="auto"/>
                <w:sz w:val="28"/>
                <w:szCs w:val="28"/>
              </w:rPr>
            </w:pPr>
            <w:r>
              <w:rPr>
                <w:rFonts w:ascii="楷体_GB2312" w:hAnsi="楷体_GB2312" w:eastAsia="楷体_GB2312" w:cs="楷体_GB2312"/>
                <w:b/>
                <w:color w:val="auto"/>
                <w:sz w:val="28"/>
                <w:szCs w:val="28"/>
              </w:rPr>
              <w:t>06.市妇幼保健院新院区应急楼</w:t>
            </w:r>
            <w:r>
              <w:rPr>
                <w:rFonts w:hint="eastAsia" w:ascii="楷体_GB2312" w:hAnsi="楷体_GB2312" w:eastAsia="楷体_GB2312" w:cs="楷体_GB2312"/>
                <w:b/>
                <w:color w:val="auto"/>
                <w:sz w:val="28"/>
                <w:szCs w:val="28"/>
              </w:rPr>
              <w:t>工程</w:t>
            </w:r>
          </w:p>
          <w:p>
            <w:pPr>
              <w:pStyle w:val="15"/>
              <w:widowControl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建设一栋地上五层高的应急楼。</w:t>
            </w:r>
          </w:p>
          <w:p>
            <w:pPr>
              <w:pStyle w:val="15"/>
              <w:widowControl w:val="0"/>
              <w:spacing w:line="520" w:lineRule="exact"/>
              <w:ind w:firstLine="562" w:firstLineChars="200"/>
              <w:jc w:val="both"/>
              <w:rPr>
                <w:rFonts w:ascii="楷体_GB2312" w:hAnsi="楷体_GB2312" w:eastAsia="楷体_GB2312" w:cs="楷体_GB2312"/>
                <w:b/>
                <w:color w:val="auto"/>
                <w:sz w:val="28"/>
                <w:szCs w:val="28"/>
              </w:rPr>
            </w:pPr>
            <w:r>
              <w:rPr>
                <w:rFonts w:ascii="楷体_GB2312" w:hAnsi="楷体_GB2312" w:eastAsia="楷体_GB2312" w:cs="楷体_GB2312"/>
                <w:b/>
                <w:color w:val="auto"/>
                <w:sz w:val="28"/>
                <w:szCs w:val="28"/>
              </w:rPr>
              <w:t>07.市中医院急诊科扩建</w:t>
            </w:r>
            <w:r>
              <w:rPr>
                <w:rFonts w:hint="eastAsia" w:ascii="楷体_GB2312" w:hAnsi="楷体_GB2312" w:eastAsia="楷体_GB2312" w:cs="楷体_GB2312"/>
                <w:b/>
                <w:color w:val="auto"/>
                <w:sz w:val="28"/>
                <w:szCs w:val="28"/>
              </w:rPr>
              <w:t>工程</w:t>
            </w:r>
          </w:p>
          <w:p>
            <w:pPr>
              <w:pStyle w:val="15"/>
              <w:widowControl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新建一栋框架结构、4层高的急诊楼。</w:t>
            </w:r>
          </w:p>
          <w:p>
            <w:pPr>
              <w:pStyle w:val="15"/>
              <w:widowControl w:val="0"/>
              <w:spacing w:line="520" w:lineRule="exact"/>
              <w:ind w:firstLine="562" w:firstLineChars="200"/>
              <w:jc w:val="both"/>
              <w:rPr>
                <w:rFonts w:ascii="楷体_GB2312" w:hAnsi="楷体_GB2312" w:eastAsia="楷体_GB2312" w:cs="楷体_GB2312"/>
                <w:b/>
                <w:color w:val="auto"/>
                <w:sz w:val="28"/>
                <w:szCs w:val="28"/>
              </w:rPr>
            </w:pPr>
            <w:r>
              <w:rPr>
                <w:rFonts w:ascii="楷体_GB2312" w:hAnsi="楷体_GB2312" w:eastAsia="楷体_GB2312" w:cs="楷体_GB2312"/>
                <w:b/>
                <w:color w:val="auto"/>
                <w:sz w:val="28"/>
                <w:szCs w:val="28"/>
              </w:rPr>
              <w:t>08.市中医院感染性疾病科建设工程</w:t>
            </w:r>
          </w:p>
          <w:p>
            <w:pPr>
              <w:pStyle w:val="15"/>
              <w:widowControl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新建1栋框架结构、4层高的感染病科业务楼。</w:t>
            </w:r>
          </w:p>
          <w:p>
            <w:pPr>
              <w:pStyle w:val="3"/>
              <w:widowControl w:val="0"/>
              <w:spacing w:line="520" w:lineRule="exact"/>
              <w:ind w:firstLine="562" w:firstLineChars="200"/>
              <w:rPr>
                <w:rFonts w:ascii="楷体_GB2312" w:hAnsi="楷体_GB2312" w:eastAsia="楷体_GB2312" w:cs="楷体_GB2312"/>
                <w:b/>
                <w:sz w:val="28"/>
                <w:szCs w:val="28"/>
              </w:rPr>
            </w:pPr>
            <w:r>
              <w:rPr>
                <w:rFonts w:ascii="楷体_GB2312" w:hAnsi="楷体_GB2312" w:eastAsia="楷体_GB2312" w:cs="楷体_GB2312"/>
                <w:b/>
                <w:sz w:val="28"/>
                <w:szCs w:val="28"/>
              </w:rPr>
              <w:t>0</w:t>
            </w:r>
            <w:r>
              <w:rPr>
                <w:rFonts w:hint="eastAsia" w:ascii="楷体_GB2312" w:hAnsi="楷体_GB2312" w:eastAsia="楷体_GB2312" w:cs="楷体_GB2312"/>
                <w:b/>
                <w:sz w:val="28"/>
                <w:szCs w:val="28"/>
              </w:rPr>
              <w:t>9</w:t>
            </w:r>
            <w:r>
              <w:rPr>
                <w:rFonts w:ascii="楷体_GB2312" w:hAnsi="楷体_GB2312" w:eastAsia="楷体_GB2312" w:cs="楷体_GB2312"/>
                <w:b/>
                <w:sz w:val="28"/>
                <w:szCs w:val="28"/>
              </w:rPr>
              <w:t>.全域卫生（健康）创建</w:t>
            </w:r>
            <w:r>
              <w:rPr>
                <w:rFonts w:hint="eastAsia" w:ascii="楷体_GB2312" w:hAnsi="楷体_GB2312" w:eastAsia="楷体_GB2312" w:cs="楷体_GB2312"/>
                <w:b/>
                <w:sz w:val="28"/>
                <w:szCs w:val="28"/>
              </w:rPr>
              <w:t>工程</w:t>
            </w:r>
          </w:p>
          <w:p>
            <w:pPr>
              <w:pStyle w:val="3"/>
              <w:widowControl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到2025年，全市力争新增至少4个国家卫生镇，实现全市国家卫生镇占比达到50%以上；全市80%以上的行政村创建为省级卫生村；全市健康村（社区）、健康单位覆盖率均达到80%以上。</w:t>
            </w:r>
          </w:p>
        </w:tc>
      </w:tr>
    </w:tbl>
    <w:p>
      <w:pPr>
        <w:pStyle w:val="9"/>
        <w:widowControl w:val="0"/>
        <w:spacing w:line="560" w:lineRule="exact"/>
        <w:outlineLvl w:val="1"/>
        <w:rPr>
          <w:rFonts w:ascii="仿宋" w:hAnsi="仿宋" w:eastAsia="仿宋"/>
        </w:rPr>
      </w:pPr>
      <w:bookmarkStart w:id="565" w:name="_Toc1826"/>
      <w:bookmarkStart w:id="566" w:name="_Toc7450"/>
      <w:bookmarkStart w:id="567" w:name="_Toc32475"/>
      <w:bookmarkStart w:id="568" w:name="_Toc56346992"/>
      <w:bookmarkStart w:id="569" w:name="_Toc19466"/>
      <w:bookmarkStart w:id="570" w:name="_Toc6163"/>
      <w:bookmarkStart w:id="571" w:name="_Toc8251"/>
      <w:bookmarkStart w:id="572" w:name="_Toc10416"/>
      <w:bookmarkStart w:id="573" w:name="_Toc15680"/>
      <w:bookmarkStart w:id="574" w:name="_Toc18987"/>
      <w:bookmarkStart w:id="575" w:name="_Toc5338"/>
      <w:bookmarkStart w:id="576" w:name="_Toc15932"/>
      <w:bookmarkStart w:id="577" w:name="_Toc56346994"/>
      <w:r>
        <w:rPr>
          <w:rFonts w:hint="eastAsia" w:ascii="楷体" w:hAnsi="楷体" w:eastAsia="楷体"/>
        </w:rPr>
        <w:t>第三节</w:t>
      </w:r>
      <w:r>
        <w:rPr>
          <w:rFonts w:ascii="楷体" w:hAnsi="楷体" w:eastAsia="楷体"/>
        </w:rPr>
        <w:t xml:space="preserve">  </w:t>
      </w:r>
      <w:r>
        <w:rPr>
          <w:rFonts w:hint="eastAsia" w:ascii="楷体" w:hAnsi="楷体" w:eastAsia="楷体"/>
        </w:rPr>
        <w:t>建设和谐琼海</w:t>
      </w:r>
      <w:bookmarkEnd w:id="565"/>
      <w:bookmarkEnd w:id="566"/>
      <w:bookmarkEnd w:id="567"/>
      <w:bookmarkEnd w:id="568"/>
      <w:bookmarkEnd w:id="569"/>
      <w:bookmarkEnd w:id="570"/>
      <w:bookmarkEnd w:id="571"/>
      <w:bookmarkEnd w:id="572"/>
      <w:bookmarkEnd w:id="573"/>
      <w:bookmarkEnd w:id="574"/>
      <w:bookmarkEnd w:id="575"/>
    </w:p>
    <w:p>
      <w:pPr>
        <w:widowControl w:val="0"/>
        <w:spacing w:line="580" w:lineRule="exact"/>
        <w:ind w:firstLine="626" w:firstLineChars="195"/>
        <w:jc w:val="left"/>
        <w:rPr>
          <w:rFonts w:ascii="楷体" w:hAnsi="楷体" w:eastAsia="楷体" w:cs="楷体"/>
          <w:b/>
          <w:bCs/>
          <w:sz w:val="32"/>
          <w:szCs w:val="32"/>
        </w:rPr>
      </w:pPr>
      <w:r>
        <w:rPr>
          <w:rFonts w:hint="eastAsia" w:ascii="楷体" w:hAnsi="楷体" w:eastAsia="楷体" w:cs="楷体"/>
          <w:b/>
          <w:bCs/>
          <w:sz w:val="32"/>
          <w:szCs w:val="32"/>
        </w:rPr>
        <w:t>提高城乡居民收入水平。</w:t>
      </w:r>
      <w:r>
        <w:rPr>
          <w:rFonts w:hint="eastAsia" w:ascii="Times New Roman" w:hAnsi="Times New Roman" w:eastAsia="仿宋_GB2312" w:cs="仿宋_GB2312"/>
          <w:sz w:val="32"/>
          <w:szCs w:val="32"/>
        </w:rPr>
        <w:t>坚持按劳分配为主体、多种分配方式并存，多渠道增加城乡居民收入。实现城乡居民收入增长与经济增长同步、劳动报酬提高与劳动生产率提高同步。着力提高低收入群体收入，扩大中等收入群体。探索通过土地等要素使用权、收益权增加中低收入群体收入。增加城乡居民财产性收入。强化激励机制，构建与自由贸易港建设相适应、体现工作绩效和分级分类管理的机关事业单位工资分配政策。强化“菜篮子”“米袋子”主体责任，加快畜禽和蔬菜生产基地建设，优化流通体系，降低流通成本，稳定物价，提升城乡居民生活品质。</w:t>
      </w:r>
    </w:p>
    <w:p>
      <w:pPr>
        <w:widowControl w:val="0"/>
        <w:spacing w:line="580" w:lineRule="exact"/>
        <w:ind w:firstLine="626" w:firstLineChars="195"/>
        <w:jc w:val="left"/>
        <w:rPr>
          <w:rFonts w:ascii="仿宋_GB2312" w:hAnsi="仿宋_GB2312" w:eastAsia="仿宋_GB2312" w:cs="仿宋_GB2312"/>
          <w:sz w:val="32"/>
          <w:szCs w:val="32"/>
        </w:rPr>
      </w:pPr>
      <w:r>
        <w:rPr>
          <w:rFonts w:hint="eastAsia" w:ascii="楷体" w:hAnsi="楷体" w:eastAsia="楷体" w:cs="楷体"/>
          <w:b/>
          <w:bCs/>
          <w:sz w:val="32"/>
          <w:szCs w:val="32"/>
        </w:rPr>
        <w:t>强化就业优先政策。</w:t>
      </w:r>
      <w:r>
        <w:rPr>
          <w:rFonts w:hint="eastAsia" w:ascii="Times New Roman" w:hAnsi="Times New Roman" w:eastAsia="仿宋_GB2312" w:cs="仿宋_GB2312"/>
          <w:sz w:val="32"/>
          <w:szCs w:val="32"/>
        </w:rPr>
        <w:t>全面强化稳就业举措，通过</w:t>
      </w:r>
      <w:r>
        <w:rPr>
          <w:rFonts w:hint="eastAsia" w:ascii="仿宋_GB2312" w:hAnsi="仿宋_GB2312" w:eastAsia="仿宋_GB2312" w:cs="仿宋_GB2312"/>
          <w:sz w:val="32"/>
          <w:szCs w:val="32"/>
        </w:rPr>
        <w:t>减负、稳岗、扩就业并举，确保稳企稳岗稳就业。坚持开展“一对一”就业困难人员援助，运用公益性岗位兜底帮扶，确保零就业家庭动态清零。更好发挥失业保险作用，做好困难人员生活保障。加大税收优惠、担保贷款、资金补贴、创业培训等实施力度，支持高校毕业生、返乡农民工等创业。鼓励和扶持退役军人就业创业。打造培育琼海建筑工程施工、家政服务品牌。推行终身职业培训制度，重点实施农民工职业技能提升计划、残疾人职业技能提升计划、农民工等人员返乡创业培训行动计划。构建和谐劳动关系，维护劳动者合法权益。</w:t>
      </w:r>
    </w:p>
    <w:p>
      <w:pPr>
        <w:widowControl w:val="0"/>
        <w:spacing w:line="560" w:lineRule="exact"/>
        <w:ind w:firstLine="640"/>
        <w:jc w:val="left"/>
        <w:rPr>
          <w:rFonts w:ascii="仿宋_GB2312" w:hAnsi="仿宋_GB2312" w:eastAsia="仿宋_GB2312" w:cs="仿宋_GB2312"/>
          <w:sz w:val="32"/>
          <w:szCs w:val="32"/>
        </w:rPr>
      </w:pPr>
      <w:r>
        <w:rPr>
          <w:rFonts w:hint="eastAsia" w:ascii="楷体" w:hAnsi="楷体" w:eastAsia="楷体" w:cs="楷体"/>
          <w:b/>
          <w:bCs/>
          <w:sz w:val="32"/>
          <w:szCs w:val="32"/>
        </w:rPr>
        <w:t>健全多层次社会保障体系。</w:t>
      </w:r>
      <w:r>
        <w:rPr>
          <w:rFonts w:hint="eastAsia" w:ascii="仿宋_GB2312" w:hAnsi="仿宋_GB2312" w:eastAsia="仿宋_GB2312" w:cs="仿宋_GB2312"/>
          <w:sz w:val="32"/>
          <w:szCs w:val="32"/>
        </w:rPr>
        <w:t>全面深入实施全民参保计划，健全多层次社会保障体系，发展企业年金、职业年金。完善失业保险制度、工伤保险制度。引导城乡居民参保养老保险长缴多缴。适当提高城乡居民基本医疗保险财政补助和个人缴费标准，提高城乡居民基本医保、大病保险、医疗救助经办服务水平。进一步优化医疗保险支付方式改革，基本建成以基本医疗保险为主，医疗救助为托底，补充医疗保险、商业健康保险、慈善捐赠、医疗互助共同发展的多层次医疗保障体系。对农村低保对象进行动态精准管理，合理提高低保等社会救助水平。建立并完善社会救助标准动态调整机制，实现社会救助各项标准城乡一体化。</w:t>
      </w:r>
    </w:p>
    <w:p>
      <w:pPr>
        <w:widowControl w:val="0"/>
        <w:spacing w:line="560" w:lineRule="exact"/>
        <w:ind w:firstLine="640"/>
        <w:jc w:val="left"/>
        <w:rPr>
          <w:rFonts w:ascii="仿宋_GB2312" w:hAnsi="仿宋_GB2312" w:eastAsia="仿宋_GB2312" w:cs="仿宋_GB2312"/>
          <w:sz w:val="32"/>
          <w:szCs w:val="32"/>
        </w:rPr>
      </w:pPr>
      <w:r>
        <w:rPr>
          <w:rFonts w:hint="eastAsia" w:ascii="楷体" w:hAnsi="楷体" w:eastAsia="楷体" w:cs="楷体"/>
          <w:b/>
          <w:bCs/>
          <w:sz w:val="32"/>
          <w:szCs w:val="32"/>
        </w:rPr>
        <w:t>建立健全住房市场体系和住房保障体系。</w:t>
      </w:r>
      <w:r>
        <w:rPr>
          <w:rFonts w:hint="eastAsia" w:ascii="仿宋_GB2312" w:hAnsi="仿宋_GB2312" w:eastAsia="仿宋_GB2312" w:cs="仿宋_GB2312"/>
          <w:sz w:val="32"/>
          <w:szCs w:val="32"/>
        </w:rPr>
        <w:t>加快建立多主体供给、多渠道保障、租购并举的住房体系和制度，让全市人民住有所居。通过大力发展公共租赁住房，鼓励发展市场化租赁住房，加快发展安居型商品住房，适度发展市场化商品住房，解决好本地居民保障性住房、改善性住房和各类人才住房需求。“十四五”期间建设公共租赁住房</w:t>
      </w:r>
      <w:r>
        <w:rPr>
          <w:rFonts w:ascii="仿宋_GB2312" w:hAnsi="仿宋_GB2312" w:eastAsia="仿宋_GB2312" w:cs="仿宋_GB2312"/>
          <w:sz w:val="32"/>
          <w:szCs w:val="32"/>
        </w:rPr>
        <w:t>1500套，建设安居型商品住房16700套。</w:t>
      </w:r>
      <w:r>
        <w:rPr>
          <w:rFonts w:hint="eastAsia" w:ascii="仿宋_GB2312" w:hAnsi="仿宋_GB2312" w:eastAsia="仿宋_GB2312" w:cs="仿宋_GB2312"/>
          <w:sz w:val="32"/>
          <w:szCs w:val="32"/>
        </w:rPr>
        <w:t>推行绿色殡葬，补齐殡葬基础设施短板。</w:t>
      </w:r>
    </w:p>
    <w:p>
      <w:pPr>
        <w:widowControl w:val="0"/>
        <w:spacing w:line="560" w:lineRule="exact"/>
        <w:ind w:firstLine="640"/>
        <w:jc w:val="left"/>
        <w:rPr>
          <w:rFonts w:ascii="仿宋_GB2312" w:hAnsi="仿宋_GB2312" w:eastAsia="仿宋_GB2312" w:cs="仿宋_GB2312"/>
          <w:sz w:val="32"/>
          <w:szCs w:val="32"/>
        </w:rPr>
      </w:pPr>
      <w:r>
        <w:rPr>
          <w:rFonts w:hint="eastAsia" w:ascii="楷体" w:hAnsi="楷体" w:eastAsia="楷体" w:cs="楷体"/>
          <w:b/>
          <w:bCs/>
          <w:sz w:val="32"/>
          <w:szCs w:val="32"/>
        </w:rPr>
        <w:t>促进人口均衡发展。</w:t>
      </w:r>
      <w:r>
        <w:rPr>
          <w:rFonts w:hint="eastAsia" w:ascii="仿宋_GB2312" w:hAnsi="仿宋_GB2312" w:eastAsia="仿宋_GB2312" w:cs="仿宋_GB2312"/>
          <w:sz w:val="32"/>
          <w:szCs w:val="32"/>
        </w:rPr>
        <w:t>完善重大人口政策咨询机制，提高决策科学性。发挥“全面两孩政策”的最大效益，平缓人口总量变动态势。坚持男女平等基</w:t>
      </w:r>
      <w:r>
        <w:rPr>
          <w:rFonts w:hint="eastAsia" w:ascii="仿宋_GB2312" w:eastAsia="仿宋_GB2312"/>
          <w:sz w:val="32"/>
          <w:szCs w:val="32"/>
        </w:rPr>
        <w:t>本国策，加强出生人口性别比的监测治理，促进社会性别平等。</w:t>
      </w:r>
      <w:r>
        <w:rPr>
          <w:rFonts w:hint="eastAsia" w:ascii="仿宋_GB2312" w:hAnsi="仿宋_GB2312" w:eastAsia="仿宋_GB2312" w:cs="仿宋_GB2312"/>
          <w:sz w:val="32"/>
          <w:szCs w:val="32"/>
        </w:rPr>
        <w:t>完善农村留守儿童和妇女、老年人关爱服务体系。引进鼓励开展0-3岁婴幼儿普惠托育服务。补齐居家养老、家庭医生签约短板，加强社区养老服务设施建设，鼓励社会力量提供高质量的居家社区养老服务。提高残疾人就业率，促进残疾人全面发展。发展农村互助式养老，改善失能老年人和重度残疾人护理服务。加强无障碍设施建设和改造，解决影响残疾人、老年人日常出行、获取信息的环境障碍。</w:t>
      </w:r>
    </w:p>
    <w:tbl>
      <w:tblPr>
        <w:tblStyle w:val="12"/>
        <w:tblW w:w="93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 w:hRule="atLeast"/>
        </w:trPr>
        <w:tc>
          <w:tcPr>
            <w:tcW w:w="9300" w:type="dxa"/>
          </w:tcPr>
          <w:p>
            <w:pPr>
              <w:widowControl w:val="0"/>
              <w:spacing w:line="460" w:lineRule="exact"/>
              <w:jc w:val="center"/>
              <w:rPr>
                <w:rFonts w:ascii="Times New Roman" w:hAnsi="Times New Roman" w:eastAsia="黑体"/>
                <w:b/>
                <w:sz w:val="28"/>
                <w:szCs w:val="28"/>
              </w:rPr>
            </w:pPr>
            <w:r>
              <w:rPr>
                <w:rFonts w:hint="eastAsia" w:ascii="黑体" w:hAnsi="黑体" w:eastAsia="黑体"/>
                <w:b/>
                <w:sz w:val="28"/>
                <w:szCs w:val="28"/>
              </w:rPr>
              <w:t>专栏</w:t>
            </w:r>
            <w:r>
              <w:rPr>
                <w:rFonts w:ascii="黑体" w:hAnsi="黑体" w:eastAsia="黑体"/>
                <w:b/>
                <w:sz w:val="28"/>
                <w:szCs w:val="28"/>
              </w:rPr>
              <w:t>2</w:t>
            </w:r>
            <w:r>
              <w:rPr>
                <w:rFonts w:hint="eastAsia" w:ascii="黑体" w:hAnsi="黑体" w:eastAsia="黑体"/>
                <w:b/>
                <w:sz w:val="28"/>
                <w:szCs w:val="28"/>
              </w:rPr>
              <w:t>4</w:t>
            </w:r>
            <w:r>
              <w:rPr>
                <w:rFonts w:ascii="黑体" w:hAnsi="黑体" w:eastAsia="黑体"/>
                <w:b/>
                <w:sz w:val="28"/>
                <w:szCs w:val="28"/>
              </w:rPr>
              <w:t>：“十四五”时期琼海市社会保障体系建设重点工程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1" w:hRule="atLeast"/>
        </w:trPr>
        <w:tc>
          <w:tcPr>
            <w:tcW w:w="9300" w:type="dxa"/>
          </w:tcPr>
          <w:p>
            <w:pPr>
              <w:pStyle w:val="10"/>
              <w:widowControl w:val="0"/>
              <w:spacing w:after="0" w:line="520" w:lineRule="exact"/>
              <w:ind w:left="0" w:leftChars="0" w:firstLine="562" w:firstLineChars="200"/>
              <w:rPr>
                <w:rFonts w:ascii="楷体_GB2312" w:hAnsi="楷体_GB2312" w:eastAsia="楷体_GB2312" w:cs="楷体_GB2312"/>
                <w:b/>
                <w:sz w:val="28"/>
                <w:szCs w:val="28"/>
              </w:rPr>
            </w:pPr>
            <w:r>
              <w:rPr>
                <w:rFonts w:ascii="楷体_GB2312" w:hAnsi="楷体_GB2312" w:eastAsia="楷体_GB2312" w:cs="楷体_GB2312"/>
                <w:b/>
                <w:sz w:val="28"/>
                <w:szCs w:val="28"/>
              </w:rPr>
              <w:t>01.双拥工程</w:t>
            </w:r>
          </w:p>
          <w:p>
            <w:pPr>
              <w:pStyle w:val="10"/>
              <w:widowControl w:val="0"/>
              <w:spacing w:after="0" w:line="520" w:lineRule="exact"/>
              <w:ind w:left="0" w:leftChars="0" w:firstLine="560" w:firstLineChars="200"/>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对琼海市烈士纪念设施提质改造，建设双拥主题文化公园、军人及烈士公墓等。 </w:t>
            </w:r>
          </w:p>
          <w:p>
            <w:pPr>
              <w:pStyle w:val="10"/>
              <w:widowControl w:val="0"/>
              <w:spacing w:after="0" w:line="520" w:lineRule="exact"/>
              <w:ind w:left="0" w:leftChars="0" w:firstLine="562" w:firstLineChars="200"/>
              <w:rPr>
                <w:rFonts w:ascii="楷体_GB2312" w:hAnsi="楷体_GB2312" w:eastAsia="楷体_GB2312" w:cs="楷体_GB2312"/>
                <w:b/>
                <w:sz w:val="28"/>
                <w:szCs w:val="28"/>
              </w:rPr>
            </w:pPr>
            <w:r>
              <w:rPr>
                <w:rFonts w:ascii="楷体_GB2312" w:hAnsi="楷体_GB2312" w:eastAsia="楷体_GB2312" w:cs="楷体_GB2312"/>
                <w:b/>
                <w:sz w:val="28"/>
                <w:szCs w:val="28"/>
              </w:rPr>
              <w:t>02.社区服务建设工程</w:t>
            </w:r>
          </w:p>
          <w:p>
            <w:pPr>
              <w:pStyle w:val="10"/>
              <w:widowControl w:val="0"/>
              <w:spacing w:after="0" w:line="520" w:lineRule="exact"/>
              <w:ind w:left="0" w:leftChars="0" w:firstLine="560" w:firstLineChars="200"/>
              <w:rPr>
                <w:rFonts w:ascii="仿宋" w:hAnsi="仿宋" w:eastAsia="仿宋" w:cs="仿宋"/>
                <w:sz w:val="28"/>
                <w:szCs w:val="28"/>
              </w:rPr>
            </w:pPr>
            <w:r>
              <w:rPr>
                <w:rFonts w:hint="eastAsia" w:ascii="仿宋_GB2312" w:hAnsi="仿宋_GB2312" w:eastAsia="仿宋_GB2312" w:cs="仿宋_GB2312"/>
                <w:sz w:val="28"/>
                <w:szCs w:val="28"/>
              </w:rPr>
              <w:t>建设中原镇博鳌乐城国际医疗旅游先行区南岸北片安置区社区综合服务中心、嘉积镇先锋社区综合服务中心、嘉积镇泮水村社区综合服务中心和长坡镇烟塘社区服务中心。</w:t>
            </w:r>
          </w:p>
          <w:p>
            <w:pPr>
              <w:pStyle w:val="10"/>
              <w:widowControl w:val="0"/>
              <w:spacing w:after="0" w:line="520" w:lineRule="exact"/>
              <w:ind w:left="0" w:leftChars="0" w:firstLine="562" w:firstLineChars="200"/>
              <w:rPr>
                <w:rFonts w:ascii="楷体_GB2312" w:hAnsi="楷体_GB2312" w:eastAsia="楷体_GB2312" w:cs="楷体_GB2312"/>
                <w:b/>
                <w:sz w:val="28"/>
                <w:szCs w:val="28"/>
              </w:rPr>
            </w:pPr>
            <w:r>
              <w:rPr>
                <w:rFonts w:ascii="楷体_GB2312" w:hAnsi="楷体_GB2312" w:eastAsia="楷体_GB2312" w:cs="楷体_GB2312"/>
                <w:b/>
                <w:sz w:val="28"/>
                <w:szCs w:val="28"/>
              </w:rPr>
              <w:t>0</w:t>
            </w:r>
            <w:r>
              <w:rPr>
                <w:rFonts w:hint="eastAsia" w:ascii="楷体_GB2312" w:hAnsi="楷体_GB2312" w:eastAsia="楷体_GB2312" w:cs="楷体_GB2312"/>
                <w:b/>
                <w:sz w:val="28"/>
                <w:szCs w:val="28"/>
              </w:rPr>
              <w:t>3</w:t>
            </w:r>
            <w:r>
              <w:rPr>
                <w:rFonts w:ascii="楷体_GB2312" w:hAnsi="楷体_GB2312" w:eastAsia="楷体_GB2312" w:cs="楷体_GB2312"/>
                <w:b/>
                <w:sz w:val="28"/>
                <w:szCs w:val="28"/>
              </w:rPr>
              <w:t>.琼海市救助管理站（琼海市未成年人救助保护中心）</w:t>
            </w:r>
          </w:p>
          <w:p>
            <w:pPr>
              <w:pStyle w:val="10"/>
              <w:widowControl w:val="0"/>
              <w:spacing w:after="0" w:line="520" w:lineRule="exact"/>
              <w:ind w:left="0" w:leftChars="0" w:firstLine="560" w:firstLineChars="200"/>
              <w:rPr>
                <w:rFonts w:eastAsia="楷体_GB2312"/>
              </w:rPr>
            </w:pPr>
            <w:r>
              <w:rPr>
                <w:rFonts w:hint="eastAsia" w:ascii="仿宋_GB2312" w:hAnsi="仿宋_GB2312" w:eastAsia="仿宋_GB2312" w:cs="仿宋_GB2312"/>
                <w:sz w:val="28"/>
                <w:szCs w:val="28"/>
              </w:rPr>
              <w:t>建设面积1200㎡、4层高的救助管理站。</w:t>
            </w:r>
          </w:p>
          <w:p>
            <w:pPr>
              <w:pStyle w:val="10"/>
              <w:widowControl w:val="0"/>
              <w:spacing w:after="0" w:line="520" w:lineRule="exact"/>
              <w:ind w:left="0" w:leftChars="0" w:firstLine="562" w:firstLineChars="200"/>
              <w:rPr>
                <w:rFonts w:ascii="楷体_GB2312" w:hAnsi="楷体_GB2312" w:eastAsia="楷体_GB2312" w:cs="楷体_GB2312"/>
                <w:b/>
                <w:sz w:val="28"/>
                <w:szCs w:val="28"/>
              </w:rPr>
            </w:pPr>
            <w:r>
              <w:rPr>
                <w:rFonts w:ascii="楷体_GB2312" w:hAnsi="楷体_GB2312" w:eastAsia="楷体_GB2312" w:cs="楷体_GB2312"/>
                <w:b/>
                <w:sz w:val="28"/>
                <w:szCs w:val="28"/>
              </w:rPr>
              <w:t>0</w:t>
            </w:r>
            <w:r>
              <w:rPr>
                <w:rFonts w:hint="eastAsia" w:ascii="楷体_GB2312" w:hAnsi="楷体_GB2312" w:eastAsia="楷体_GB2312" w:cs="楷体_GB2312"/>
                <w:b/>
                <w:sz w:val="28"/>
                <w:szCs w:val="28"/>
              </w:rPr>
              <w:t>4</w:t>
            </w:r>
            <w:r>
              <w:rPr>
                <w:rFonts w:ascii="楷体_GB2312" w:hAnsi="楷体_GB2312" w:eastAsia="楷体_GB2312" w:cs="楷体_GB2312"/>
                <w:b/>
                <w:sz w:val="28"/>
                <w:szCs w:val="28"/>
              </w:rPr>
              <w:t>.养老服务工程</w:t>
            </w:r>
          </w:p>
          <w:p>
            <w:pPr>
              <w:pStyle w:val="10"/>
              <w:widowControl w:val="0"/>
              <w:spacing w:after="0" w:line="520" w:lineRule="exact"/>
              <w:ind w:left="0" w:leftChars="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建设嘉积镇、中原镇、长坡镇、石壁镇敬老院和嘉积镇4个社区（南中、山叶、登仙岭、文坡）日间托养中心，鼓励引导社会力量建设适应多层次需求的养老服务机构。</w:t>
            </w:r>
          </w:p>
          <w:p>
            <w:pPr>
              <w:pStyle w:val="10"/>
              <w:widowControl w:val="0"/>
              <w:spacing w:after="0" w:line="520" w:lineRule="exact"/>
              <w:ind w:left="0" w:leftChars="0" w:firstLine="562" w:firstLineChars="200"/>
              <w:rPr>
                <w:rFonts w:ascii="楷体_GB2312" w:hAnsi="楷体_GB2312" w:eastAsia="楷体_GB2312" w:cs="楷体_GB2312"/>
                <w:b/>
                <w:sz w:val="28"/>
                <w:szCs w:val="28"/>
              </w:rPr>
            </w:pPr>
            <w:r>
              <w:rPr>
                <w:rFonts w:ascii="楷体_GB2312" w:hAnsi="楷体_GB2312" w:eastAsia="楷体_GB2312" w:cs="楷体_GB2312"/>
                <w:b/>
                <w:sz w:val="28"/>
                <w:szCs w:val="28"/>
              </w:rPr>
              <w:t>0</w:t>
            </w:r>
            <w:r>
              <w:rPr>
                <w:rFonts w:hint="eastAsia" w:ascii="楷体_GB2312" w:hAnsi="楷体_GB2312" w:eastAsia="楷体_GB2312" w:cs="楷体_GB2312"/>
                <w:b/>
                <w:sz w:val="28"/>
                <w:szCs w:val="28"/>
              </w:rPr>
              <w:t>5</w:t>
            </w:r>
            <w:r>
              <w:rPr>
                <w:rFonts w:ascii="楷体_GB2312" w:hAnsi="楷体_GB2312" w:eastAsia="楷体_GB2312" w:cs="楷体_GB2312"/>
                <w:b/>
                <w:sz w:val="28"/>
                <w:szCs w:val="28"/>
              </w:rPr>
              <w:t>.公墓建设工程</w:t>
            </w:r>
          </w:p>
          <w:p>
            <w:pPr>
              <w:pStyle w:val="10"/>
              <w:widowControl w:val="0"/>
              <w:spacing w:after="0" w:line="520" w:lineRule="exact"/>
              <w:ind w:left="0" w:leftChars="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新建市级仙安园公墓和5个镇级（博鳌、塔样、长坡、阳江、会山）公益性公墓。</w:t>
            </w:r>
          </w:p>
          <w:p>
            <w:pPr>
              <w:pStyle w:val="10"/>
              <w:widowControl w:val="0"/>
              <w:spacing w:after="0" w:line="520" w:lineRule="exact"/>
              <w:ind w:left="0" w:leftChars="0" w:firstLine="562" w:firstLineChars="200"/>
              <w:rPr>
                <w:rFonts w:ascii="楷体_GB2312" w:hAnsi="楷体_GB2312" w:eastAsia="楷体_GB2312" w:cs="楷体_GB2312"/>
                <w:b/>
                <w:sz w:val="28"/>
                <w:szCs w:val="28"/>
              </w:rPr>
            </w:pPr>
            <w:r>
              <w:rPr>
                <w:rFonts w:ascii="楷体_GB2312" w:hAnsi="楷体_GB2312" w:eastAsia="楷体_GB2312" w:cs="楷体_GB2312"/>
                <w:b/>
                <w:sz w:val="28"/>
                <w:szCs w:val="28"/>
              </w:rPr>
              <w:t>0</w:t>
            </w:r>
            <w:r>
              <w:rPr>
                <w:rFonts w:hint="eastAsia" w:ascii="楷体_GB2312" w:hAnsi="楷体_GB2312" w:eastAsia="楷体_GB2312" w:cs="楷体_GB2312"/>
                <w:b/>
                <w:sz w:val="28"/>
                <w:szCs w:val="28"/>
              </w:rPr>
              <w:t>6</w:t>
            </w:r>
            <w:r>
              <w:rPr>
                <w:rFonts w:ascii="楷体_GB2312" w:hAnsi="楷体_GB2312" w:eastAsia="楷体_GB2312" w:cs="楷体_GB2312"/>
                <w:b/>
                <w:sz w:val="28"/>
                <w:szCs w:val="28"/>
              </w:rPr>
              <w:t>.会山镇</w:t>
            </w:r>
            <w:r>
              <w:rPr>
                <w:rFonts w:hint="eastAsia" w:ascii="楷体_GB2312" w:hAnsi="楷体_GB2312" w:eastAsia="楷体_GB2312" w:cs="楷体_GB2312"/>
                <w:b/>
                <w:sz w:val="28"/>
                <w:szCs w:val="28"/>
              </w:rPr>
              <w:t>加略村委会</w:t>
            </w:r>
            <w:r>
              <w:rPr>
                <w:rFonts w:ascii="楷体_GB2312" w:hAnsi="楷体_GB2312" w:eastAsia="楷体_GB2312" w:cs="楷体_GB2312"/>
                <w:b/>
                <w:sz w:val="28"/>
                <w:szCs w:val="28"/>
              </w:rPr>
              <w:t>棉头村</w:t>
            </w:r>
            <w:r>
              <w:rPr>
                <w:rFonts w:hint="eastAsia" w:ascii="楷体_GB2312" w:hAnsi="楷体_GB2312" w:eastAsia="楷体_GB2312" w:cs="楷体_GB2312"/>
                <w:b/>
                <w:sz w:val="28"/>
                <w:szCs w:val="28"/>
              </w:rPr>
              <w:t>小组</w:t>
            </w:r>
            <w:r>
              <w:rPr>
                <w:rFonts w:ascii="楷体_GB2312" w:hAnsi="楷体_GB2312" w:eastAsia="楷体_GB2312" w:cs="楷体_GB2312"/>
                <w:b/>
                <w:sz w:val="28"/>
                <w:szCs w:val="28"/>
              </w:rPr>
              <w:t>搬迁项目</w:t>
            </w:r>
          </w:p>
          <w:p>
            <w:pPr>
              <w:pStyle w:val="10"/>
              <w:widowControl w:val="0"/>
              <w:spacing w:after="0" w:line="520" w:lineRule="exact"/>
              <w:ind w:left="0" w:leftChars="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将会山镇加略村委会棉头村小组整体搬迁至会山镇墟集中安置，包括建设安置区、基础设施、产业配套项目等。</w:t>
            </w:r>
          </w:p>
          <w:p>
            <w:pPr>
              <w:pStyle w:val="10"/>
              <w:widowControl w:val="0"/>
              <w:spacing w:after="0" w:line="520" w:lineRule="exact"/>
              <w:ind w:left="0" w:leftChars="0" w:firstLine="562" w:firstLineChars="200"/>
              <w:rPr>
                <w:rFonts w:ascii="楷体_GB2312" w:hAnsi="楷体_GB2312" w:eastAsia="楷体_GB2312" w:cs="楷体_GB2312"/>
                <w:b/>
                <w:sz w:val="28"/>
                <w:szCs w:val="28"/>
              </w:rPr>
            </w:pPr>
            <w:r>
              <w:rPr>
                <w:rFonts w:hint="eastAsia" w:ascii="楷体_GB2312" w:hAnsi="楷体_GB2312" w:eastAsia="楷体_GB2312" w:cs="楷体_GB2312"/>
                <w:b/>
                <w:sz w:val="28"/>
                <w:szCs w:val="28"/>
              </w:rPr>
              <w:t>07.塔洋镇联先片区基础设施配套工程</w:t>
            </w:r>
          </w:p>
          <w:p>
            <w:pPr>
              <w:pStyle w:val="10"/>
              <w:widowControl w:val="0"/>
              <w:spacing w:after="0" w:line="520" w:lineRule="exact"/>
              <w:ind w:left="0" w:leftChars="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建设联先安置区内道路、给排水、照明电气等基础配套工程以及幼儿园、健身房、棋牌室等配套公共设施。</w:t>
            </w:r>
          </w:p>
          <w:p>
            <w:pPr>
              <w:pStyle w:val="10"/>
              <w:widowControl w:val="0"/>
              <w:spacing w:after="0" w:line="520" w:lineRule="exact"/>
              <w:ind w:left="0" w:leftChars="0" w:firstLine="562" w:firstLineChars="200"/>
              <w:rPr>
                <w:rFonts w:ascii="楷体_GB2312" w:hAnsi="楷体_GB2312" w:eastAsia="楷体_GB2312" w:cs="楷体_GB2312"/>
                <w:b/>
                <w:sz w:val="28"/>
                <w:szCs w:val="28"/>
              </w:rPr>
            </w:pPr>
            <w:r>
              <w:rPr>
                <w:rFonts w:hint="eastAsia" w:ascii="楷体_GB2312" w:hAnsi="楷体_GB2312" w:eastAsia="楷体_GB2312" w:cs="楷体_GB2312"/>
                <w:b/>
                <w:sz w:val="28"/>
                <w:szCs w:val="28"/>
              </w:rPr>
              <w:t>08</w:t>
            </w:r>
            <w:r>
              <w:rPr>
                <w:rFonts w:ascii="楷体_GB2312" w:hAnsi="楷体_GB2312" w:eastAsia="楷体_GB2312" w:cs="楷体_GB2312"/>
                <w:b/>
                <w:sz w:val="28"/>
                <w:szCs w:val="28"/>
              </w:rPr>
              <w:t>.</w:t>
            </w:r>
            <w:r>
              <w:rPr>
                <w:rFonts w:hint="eastAsia" w:ascii="楷体_GB2312" w:hAnsi="楷体_GB2312" w:eastAsia="楷体_GB2312" w:cs="楷体_GB2312"/>
                <w:b/>
                <w:sz w:val="28"/>
                <w:szCs w:val="28"/>
              </w:rPr>
              <w:t>博鳌乐城国际医疗旅游先行区南岸北片安置区（一期）工程</w:t>
            </w:r>
          </w:p>
          <w:p>
            <w:pPr>
              <w:pStyle w:val="10"/>
              <w:widowControl w:val="0"/>
              <w:spacing w:after="0" w:line="520" w:lineRule="exact"/>
              <w:ind w:left="0" w:leftChars="0" w:firstLine="560" w:firstLineChars="200"/>
              <w:rPr>
                <w:rFonts w:ascii="仿宋_GB2312" w:hAnsi="仿宋_GB2312" w:eastAsia="仿宋_GB2312" w:cs="仿宋_GB2312"/>
                <w:b/>
                <w:sz w:val="28"/>
                <w:szCs w:val="28"/>
              </w:rPr>
            </w:pPr>
            <w:r>
              <w:rPr>
                <w:rFonts w:hint="eastAsia" w:ascii="仿宋_GB2312" w:hAnsi="仿宋_GB2312" w:eastAsia="仿宋_GB2312" w:cs="仿宋_GB2312"/>
                <w:sz w:val="28"/>
                <w:szCs w:val="28"/>
              </w:rPr>
              <w:t>用地面积450280㎡，建设安置区内基础设施，主要包括道路工程、给排水工程、绿化工程等。</w:t>
            </w:r>
          </w:p>
          <w:p>
            <w:pPr>
              <w:pStyle w:val="10"/>
              <w:widowControl w:val="0"/>
              <w:spacing w:after="0" w:line="520" w:lineRule="exact"/>
              <w:ind w:left="0" w:leftChars="0" w:firstLine="562" w:firstLineChars="200"/>
              <w:rPr>
                <w:rFonts w:ascii="楷体_GB2312" w:hAnsi="楷体_GB2312" w:eastAsia="楷体_GB2312" w:cs="楷体_GB2312"/>
                <w:b/>
                <w:sz w:val="28"/>
                <w:szCs w:val="28"/>
              </w:rPr>
            </w:pPr>
            <w:r>
              <w:rPr>
                <w:rFonts w:hint="eastAsia" w:ascii="楷体_GB2312" w:hAnsi="楷体_GB2312" w:eastAsia="楷体_GB2312" w:cs="楷体_GB2312"/>
                <w:b/>
                <w:sz w:val="28"/>
                <w:szCs w:val="28"/>
              </w:rPr>
              <w:t>09</w:t>
            </w:r>
            <w:r>
              <w:rPr>
                <w:rFonts w:ascii="楷体_GB2312" w:hAnsi="楷体_GB2312" w:eastAsia="楷体_GB2312" w:cs="楷体_GB2312"/>
                <w:b/>
                <w:sz w:val="28"/>
                <w:szCs w:val="28"/>
              </w:rPr>
              <w:t>.</w:t>
            </w:r>
            <w:r>
              <w:rPr>
                <w:rFonts w:hint="eastAsia" w:ascii="楷体_GB2312" w:hAnsi="楷体_GB2312" w:eastAsia="楷体_GB2312" w:cs="楷体_GB2312"/>
                <w:b/>
                <w:sz w:val="28"/>
                <w:szCs w:val="28"/>
              </w:rPr>
              <w:t>博鳌乐城国际医疗旅游先行区南岸南片安置区工程</w:t>
            </w:r>
          </w:p>
          <w:p>
            <w:pPr>
              <w:pStyle w:val="10"/>
              <w:widowControl w:val="0"/>
              <w:spacing w:after="0" w:line="520" w:lineRule="exact"/>
              <w:ind w:left="0" w:leftChars="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用地面积236661㎡，建设安置区内基础设施，主要包括道路工程、给排水工程、绿化工程等。</w:t>
            </w:r>
          </w:p>
          <w:p>
            <w:pPr>
              <w:pStyle w:val="10"/>
              <w:widowControl w:val="0"/>
              <w:spacing w:after="0" w:line="520" w:lineRule="exact"/>
              <w:ind w:left="0" w:leftChars="0" w:firstLine="562" w:firstLineChars="200"/>
              <w:rPr>
                <w:rFonts w:ascii="楷体_GB2312" w:hAnsi="楷体_GB2312" w:eastAsia="楷体_GB2312" w:cs="楷体_GB2312"/>
                <w:b/>
                <w:sz w:val="28"/>
                <w:szCs w:val="28"/>
              </w:rPr>
            </w:pPr>
            <w:r>
              <w:rPr>
                <w:rFonts w:hint="eastAsia" w:ascii="楷体_GB2312" w:hAnsi="楷体_GB2312" w:eastAsia="楷体_GB2312" w:cs="楷体_GB2312"/>
                <w:b/>
                <w:sz w:val="28"/>
                <w:szCs w:val="28"/>
              </w:rPr>
              <w:t>10</w:t>
            </w:r>
            <w:r>
              <w:rPr>
                <w:rFonts w:ascii="楷体_GB2312" w:hAnsi="楷体_GB2312" w:eastAsia="楷体_GB2312" w:cs="楷体_GB2312"/>
                <w:b/>
                <w:sz w:val="28"/>
                <w:szCs w:val="28"/>
              </w:rPr>
              <w:t>.博鳌乐城国际医疗旅游先行区南岸北片安置区地基基础</w:t>
            </w:r>
            <w:r>
              <w:rPr>
                <w:rFonts w:hint="eastAsia" w:ascii="楷体_GB2312" w:hAnsi="楷体_GB2312" w:eastAsia="楷体_GB2312" w:cs="楷体_GB2312"/>
                <w:b/>
                <w:sz w:val="28"/>
                <w:szCs w:val="28"/>
              </w:rPr>
              <w:t>工程</w:t>
            </w:r>
          </w:p>
          <w:p>
            <w:pPr>
              <w:pStyle w:val="10"/>
              <w:widowControl w:val="0"/>
              <w:spacing w:after="0" w:line="520" w:lineRule="exact"/>
              <w:ind w:left="0" w:leftChars="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用地面积约154085㎡，安置户数1160户，建设安置区地基及附属建筑建设。</w:t>
            </w:r>
          </w:p>
          <w:p>
            <w:pPr>
              <w:pStyle w:val="10"/>
              <w:widowControl w:val="0"/>
              <w:spacing w:after="0" w:line="520" w:lineRule="exact"/>
              <w:ind w:left="0" w:leftChars="0" w:firstLine="562" w:firstLineChars="200"/>
              <w:rPr>
                <w:rFonts w:ascii="楷体_GB2312" w:hAnsi="楷体_GB2312" w:eastAsia="楷体_GB2312" w:cs="楷体_GB2312"/>
                <w:b/>
                <w:sz w:val="28"/>
                <w:szCs w:val="28"/>
              </w:rPr>
            </w:pPr>
            <w:r>
              <w:rPr>
                <w:rFonts w:hint="eastAsia" w:ascii="楷体_GB2312" w:hAnsi="楷体_GB2312" w:eastAsia="楷体_GB2312" w:cs="楷体_GB2312"/>
                <w:b/>
                <w:sz w:val="28"/>
                <w:szCs w:val="28"/>
              </w:rPr>
              <w:t>11</w:t>
            </w:r>
            <w:r>
              <w:rPr>
                <w:rFonts w:ascii="楷体_GB2312" w:hAnsi="楷体_GB2312" w:eastAsia="楷体_GB2312" w:cs="楷体_GB2312"/>
                <w:b/>
                <w:sz w:val="28"/>
                <w:szCs w:val="28"/>
              </w:rPr>
              <w:t>.博鳌乐城国际医疗旅游先行区南岸南片安置区地基基础</w:t>
            </w:r>
            <w:r>
              <w:rPr>
                <w:rFonts w:hint="eastAsia" w:ascii="楷体_GB2312" w:hAnsi="楷体_GB2312" w:eastAsia="楷体_GB2312" w:cs="楷体_GB2312"/>
                <w:b/>
                <w:sz w:val="28"/>
                <w:szCs w:val="28"/>
              </w:rPr>
              <w:t>工程</w:t>
            </w:r>
          </w:p>
          <w:p>
            <w:pPr>
              <w:pStyle w:val="10"/>
              <w:widowControl w:val="0"/>
              <w:spacing w:after="0" w:line="520" w:lineRule="exact"/>
              <w:ind w:left="0" w:leftChars="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用地面积约85280㎡，安置户数621户，统建安置区房屋基础。</w:t>
            </w:r>
          </w:p>
          <w:p>
            <w:pPr>
              <w:pStyle w:val="10"/>
              <w:widowControl w:val="0"/>
              <w:spacing w:after="0" w:line="520" w:lineRule="exact"/>
              <w:ind w:left="0" w:leftChars="0" w:firstLine="562" w:firstLineChars="200"/>
              <w:rPr>
                <w:rFonts w:ascii="楷体_GB2312" w:hAnsi="楷体_GB2312" w:eastAsia="楷体_GB2312" w:cs="楷体_GB2312"/>
                <w:b/>
                <w:sz w:val="28"/>
                <w:szCs w:val="28"/>
              </w:rPr>
            </w:pPr>
            <w:r>
              <w:rPr>
                <w:rFonts w:hint="eastAsia" w:ascii="楷体_GB2312" w:hAnsi="楷体_GB2312" w:eastAsia="楷体_GB2312" w:cs="楷体_GB2312"/>
                <w:b/>
                <w:sz w:val="28"/>
                <w:szCs w:val="28"/>
              </w:rPr>
              <w:t>12</w:t>
            </w:r>
            <w:r>
              <w:rPr>
                <w:rFonts w:ascii="楷体_GB2312" w:hAnsi="楷体_GB2312" w:eastAsia="楷体_GB2312" w:cs="楷体_GB2312"/>
                <w:b/>
                <w:sz w:val="28"/>
                <w:szCs w:val="28"/>
              </w:rPr>
              <w:t>.</w:t>
            </w:r>
            <w:r>
              <w:rPr>
                <w:rFonts w:hint="eastAsia" w:ascii="楷体_GB2312" w:hAnsi="楷体_GB2312" w:eastAsia="楷体_GB2312" w:cs="楷体_GB2312"/>
                <w:b/>
                <w:sz w:val="28"/>
                <w:szCs w:val="28"/>
              </w:rPr>
              <w:t>博鳌乐城国际医疗旅游先行区南岸北片安置区（二期）工程</w:t>
            </w:r>
          </w:p>
          <w:p>
            <w:pPr>
              <w:pStyle w:val="10"/>
              <w:widowControl w:val="0"/>
              <w:spacing w:after="0" w:line="520" w:lineRule="exact"/>
              <w:ind w:left="0" w:leftChars="0" w:firstLine="560" w:firstLineChars="200"/>
            </w:pPr>
            <w:r>
              <w:rPr>
                <w:rFonts w:hint="eastAsia" w:ascii="仿宋_GB2312" w:hAnsi="仿宋_GB2312" w:eastAsia="仿宋_GB2312" w:cs="仿宋_GB2312"/>
                <w:sz w:val="28"/>
                <w:szCs w:val="28"/>
              </w:rPr>
              <w:t>用地面积99300㎡，建设安置区内基础设施，主要包括道路工程、给排水工程、绿化工程等。</w:t>
            </w:r>
          </w:p>
          <w:p>
            <w:pPr>
              <w:pStyle w:val="10"/>
              <w:widowControl w:val="0"/>
              <w:spacing w:after="0" w:line="520" w:lineRule="exact"/>
              <w:ind w:left="0" w:leftChars="0" w:firstLine="562" w:firstLineChars="200"/>
              <w:rPr>
                <w:rFonts w:ascii="仿宋_GB2312" w:hAnsi="仿宋_GB2312" w:eastAsia="仿宋_GB2312" w:cs="仿宋_GB2312"/>
                <w:sz w:val="28"/>
                <w:szCs w:val="28"/>
              </w:rPr>
            </w:pPr>
            <w:r>
              <w:rPr>
                <w:rFonts w:hint="eastAsia" w:ascii="楷体_GB2312" w:hAnsi="楷体_GB2312" w:eastAsia="楷体_GB2312" w:cs="楷体_GB2312"/>
                <w:b/>
                <w:sz w:val="28"/>
                <w:szCs w:val="28"/>
              </w:rPr>
              <w:t>13.博鳌乐城国际医疗旅游先行区北岸安置区基础设施工程</w:t>
            </w:r>
          </w:p>
          <w:p>
            <w:pPr>
              <w:pStyle w:val="10"/>
              <w:widowControl w:val="0"/>
              <w:spacing w:after="0" w:line="520" w:lineRule="exact"/>
              <w:ind w:left="0" w:leftChars="0" w:firstLine="560" w:firstLineChars="200"/>
              <w:rPr>
                <w:rFonts w:eastAsia="仿宋_GB2312"/>
              </w:rPr>
            </w:pPr>
            <w:r>
              <w:rPr>
                <w:rFonts w:hint="eastAsia" w:ascii="仿宋_GB2312" w:hAnsi="仿宋_GB2312" w:eastAsia="仿宋_GB2312" w:cs="仿宋_GB2312"/>
                <w:sz w:val="28"/>
                <w:szCs w:val="28"/>
              </w:rPr>
              <w:t>建设安置区内基础设施，主要包括新建道路工程、给排水工程、绿化工程等。</w:t>
            </w:r>
          </w:p>
          <w:p>
            <w:pPr>
              <w:pStyle w:val="10"/>
              <w:widowControl w:val="0"/>
              <w:spacing w:after="0" w:line="520" w:lineRule="exact"/>
              <w:ind w:left="0" w:leftChars="0" w:firstLine="562" w:firstLineChars="200"/>
              <w:rPr>
                <w:rFonts w:ascii="楷体_GB2312" w:hAnsi="楷体_GB2312" w:eastAsia="楷体_GB2312" w:cs="楷体_GB2312"/>
                <w:b/>
                <w:sz w:val="28"/>
                <w:szCs w:val="28"/>
              </w:rPr>
            </w:pPr>
            <w:r>
              <w:rPr>
                <w:rFonts w:hint="eastAsia" w:ascii="楷体_GB2312" w:hAnsi="楷体_GB2312" w:eastAsia="楷体_GB2312" w:cs="楷体_GB2312"/>
                <w:b/>
                <w:sz w:val="28"/>
                <w:szCs w:val="28"/>
              </w:rPr>
              <w:t xml:space="preserve">14.教育新校区安置区基础设施建设工程 </w:t>
            </w:r>
          </w:p>
          <w:p>
            <w:pPr>
              <w:pStyle w:val="10"/>
              <w:widowControl w:val="0"/>
              <w:spacing w:after="0" w:line="520" w:lineRule="exact"/>
              <w:ind w:left="0" w:leftChars="0"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占地面积122.16亩，主要建设内容为道路工程、交通工程、给水工程、排水工程、照明工程等</w:t>
            </w:r>
          </w:p>
          <w:p>
            <w:pPr>
              <w:pStyle w:val="10"/>
              <w:widowControl w:val="0"/>
              <w:spacing w:after="0" w:line="520" w:lineRule="exact"/>
              <w:ind w:left="0" w:leftChars="0" w:firstLine="562" w:firstLineChars="200"/>
              <w:rPr>
                <w:rFonts w:ascii="楷体_GB2312" w:hAnsi="楷体_GB2312" w:eastAsia="仿宋" w:cs="楷体_GB2312"/>
                <w:b/>
                <w:sz w:val="28"/>
                <w:szCs w:val="28"/>
              </w:rPr>
            </w:pPr>
            <w:r>
              <w:rPr>
                <w:rFonts w:hint="eastAsia" w:ascii="楷体_GB2312" w:hAnsi="楷体_GB2312" w:eastAsia="楷体_GB2312" w:cs="楷体_GB2312"/>
                <w:b/>
                <w:sz w:val="28"/>
                <w:szCs w:val="28"/>
              </w:rPr>
              <w:t>15.文化体育中心安置区基础设施建设工程</w:t>
            </w:r>
          </w:p>
          <w:p>
            <w:pPr>
              <w:pStyle w:val="10"/>
              <w:widowControl w:val="0"/>
              <w:spacing w:after="0" w:line="520" w:lineRule="exact"/>
              <w:ind w:left="0" w:leftChars="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占地面积65亩，安置120户,主要建设内容为道路工程、给水工程、排水工程、照明工程、绿化工程等。</w:t>
            </w:r>
          </w:p>
          <w:p>
            <w:pPr>
              <w:pStyle w:val="10"/>
              <w:widowControl w:val="0"/>
              <w:spacing w:after="0" w:line="520" w:lineRule="exact"/>
              <w:ind w:left="0" w:leftChars="0" w:firstLine="562" w:firstLineChars="200"/>
              <w:rPr>
                <w:rFonts w:ascii="楷体_GB2312" w:hAnsi="楷体_GB2312" w:eastAsia="楷体_GB2312" w:cs="楷体_GB2312"/>
                <w:b/>
                <w:sz w:val="28"/>
                <w:szCs w:val="28"/>
              </w:rPr>
            </w:pPr>
            <w:r>
              <w:rPr>
                <w:rFonts w:hint="eastAsia" w:ascii="楷体_GB2312" w:hAnsi="楷体_GB2312" w:eastAsia="楷体_GB2312" w:cs="楷体_GB2312"/>
                <w:b/>
                <w:sz w:val="28"/>
                <w:szCs w:val="28"/>
              </w:rPr>
              <w:t xml:space="preserve">16.山叶居委会牛田安置区建设工程  </w:t>
            </w:r>
          </w:p>
          <w:p>
            <w:pPr>
              <w:pStyle w:val="10"/>
              <w:widowControl w:val="0"/>
              <w:spacing w:after="0" w:line="520" w:lineRule="exact"/>
              <w:ind w:left="0" w:leftChars="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占地面积约10亩，安置约20户（分户）,主要建设内容为道路工程、给水工程、排水工程、照明工程、绿化工程等。</w:t>
            </w:r>
          </w:p>
          <w:p>
            <w:pPr>
              <w:pStyle w:val="10"/>
              <w:widowControl w:val="0"/>
              <w:spacing w:after="0" w:line="520" w:lineRule="exact"/>
              <w:ind w:left="0" w:leftChars="0" w:firstLine="562" w:firstLineChars="200"/>
              <w:rPr>
                <w:rFonts w:ascii="楷体_GB2312" w:hAnsi="楷体_GB2312" w:eastAsia="楷体_GB2312" w:cs="楷体_GB2312"/>
                <w:b/>
                <w:sz w:val="28"/>
                <w:szCs w:val="28"/>
              </w:rPr>
            </w:pPr>
            <w:r>
              <w:rPr>
                <w:rFonts w:hint="eastAsia" w:ascii="楷体_GB2312" w:hAnsi="楷体_GB2312" w:eastAsia="楷体_GB2312" w:cs="楷体_GB2312"/>
                <w:b/>
                <w:sz w:val="28"/>
                <w:szCs w:val="28"/>
              </w:rPr>
              <w:t>17.金海北路安置区（龙五、龙六、龙七）基础设施建设工程</w:t>
            </w:r>
          </w:p>
          <w:p>
            <w:pPr>
              <w:pStyle w:val="10"/>
              <w:widowControl w:val="0"/>
              <w:spacing w:after="0" w:line="520" w:lineRule="exact"/>
              <w:ind w:left="0" w:leftChars="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占地面积141亩，主要建设内容为道路工程、交通工程、给水工程、排水工程、照明工程等。</w:t>
            </w:r>
          </w:p>
        </w:tc>
      </w:tr>
    </w:tbl>
    <w:p>
      <w:pPr>
        <w:pStyle w:val="19"/>
        <w:widowControl w:val="0"/>
        <w:tabs>
          <w:tab w:val="right" w:leader="dot" w:pos="9072"/>
        </w:tabs>
        <w:jc w:val="center"/>
        <w:rPr>
          <w:rFonts w:ascii="黑体" w:hAnsi="黑体" w:eastAsia="黑体" w:cstheme="minorBidi"/>
          <w:b/>
          <w:sz w:val="32"/>
          <w:szCs w:val="32"/>
        </w:rPr>
      </w:pPr>
      <w:bookmarkStart w:id="578" w:name="_Toc14291"/>
      <w:bookmarkStart w:id="579" w:name="_Toc31877"/>
      <w:bookmarkStart w:id="580" w:name="_Toc31040"/>
      <w:bookmarkStart w:id="581" w:name="_Toc13119"/>
      <w:bookmarkStart w:id="582" w:name="_Toc27736"/>
      <w:bookmarkStart w:id="583" w:name="_Toc6671"/>
      <w:bookmarkStart w:id="584" w:name="_Toc14773"/>
      <w:bookmarkStart w:id="585" w:name="_Toc11695"/>
      <w:bookmarkStart w:id="586" w:name="_Toc288"/>
    </w:p>
    <w:p>
      <w:pPr>
        <w:pStyle w:val="19"/>
        <w:widowControl w:val="0"/>
        <w:tabs>
          <w:tab w:val="right" w:leader="dot" w:pos="9072"/>
        </w:tabs>
        <w:jc w:val="center"/>
        <w:rPr>
          <w:rFonts w:ascii="黑体" w:hAnsi="黑体" w:eastAsia="黑体" w:cstheme="minorBidi"/>
          <w:b/>
          <w:sz w:val="32"/>
          <w:szCs w:val="32"/>
        </w:rPr>
      </w:pPr>
    </w:p>
    <w:p>
      <w:pPr>
        <w:pStyle w:val="19"/>
        <w:widowControl w:val="0"/>
        <w:tabs>
          <w:tab w:val="right" w:leader="dot" w:pos="9072"/>
        </w:tabs>
        <w:jc w:val="center"/>
        <w:rPr>
          <w:rFonts w:ascii="黑体" w:hAnsi="黑体" w:eastAsia="黑体" w:cstheme="minorBidi"/>
          <w:b/>
          <w:sz w:val="32"/>
          <w:szCs w:val="32"/>
        </w:rPr>
      </w:pPr>
    </w:p>
    <w:p>
      <w:pPr>
        <w:pStyle w:val="19"/>
        <w:widowControl w:val="0"/>
        <w:tabs>
          <w:tab w:val="right" w:leader="dot" w:pos="9072"/>
        </w:tabs>
        <w:jc w:val="center"/>
        <w:rPr>
          <w:rFonts w:ascii="黑体" w:hAnsi="黑体" w:eastAsia="黑体" w:cstheme="minorBidi"/>
          <w:b/>
          <w:sz w:val="32"/>
          <w:szCs w:val="32"/>
        </w:rPr>
      </w:pPr>
    </w:p>
    <w:p>
      <w:pPr>
        <w:pStyle w:val="19"/>
        <w:widowControl w:val="0"/>
        <w:tabs>
          <w:tab w:val="right" w:leader="dot" w:pos="9072"/>
        </w:tabs>
        <w:jc w:val="center"/>
        <w:rPr>
          <w:rFonts w:ascii="黑体" w:hAnsi="黑体" w:eastAsia="黑体" w:cstheme="minorBidi"/>
          <w:b/>
          <w:sz w:val="32"/>
          <w:szCs w:val="32"/>
        </w:rPr>
      </w:pPr>
    </w:p>
    <w:p>
      <w:pPr>
        <w:pStyle w:val="19"/>
        <w:widowControl w:val="0"/>
        <w:tabs>
          <w:tab w:val="right" w:leader="dot" w:pos="9072"/>
        </w:tabs>
        <w:jc w:val="center"/>
        <w:rPr>
          <w:rFonts w:ascii="黑体" w:hAnsi="黑体" w:eastAsia="黑体" w:cstheme="minorBidi"/>
          <w:b/>
          <w:sz w:val="32"/>
          <w:szCs w:val="32"/>
        </w:rPr>
      </w:pPr>
    </w:p>
    <w:p>
      <w:pPr>
        <w:pStyle w:val="19"/>
        <w:widowControl w:val="0"/>
        <w:tabs>
          <w:tab w:val="right" w:leader="dot" w:pos="9072"/>
        </w:tabs>
        <w:jc w:val="center"/>
        <w:rPr>
          <w:rFonts w:ascii="黑体" w:hAnsi="黑体" w:eastAsia="黑体" w:cstheme="minorBidi"/>
          <w:b/>
          <w:sz w:val="32"/>
          <w:szCs w:val="32"/>
        </w:rPr>
      </w:pPr>
    </w:p>
    <w:p>
      <w:pPr>
        <w:pStyle w:val="19"/>
        <w:widowControl w:val="0"/>
        <w:tabs>
          <w:tab w:val="right" w:leader="dot" w:pos="9072"/>
        </w:tabs>
        <w:jc w:val="center"/>
        <w:rPr>
          <w:rFonts w:ascii="黑体" w:hAnsi="黑体" w:eastAsia="黑体" w:cstheme="minorBidi"/>
          <w:b/>
          <w:sz w:val="32"/>
          <w:szCs w:val="32"/>
        </w:rPr>
      </w:pPr>
    </w:p>
    <w:p>
      <w:pPr>
        <w:pStyle w:val="19"/>
        <w:widowControl w:val="0"/>
        <w:tabs>
          <w:tab w:val="right" w:leader="dot" w:pos="9072"/>
        </w:tabs>
        <w:jc w:val="center"/>
        <w:rPr>
          <w:rFonts w:ascii="黑体" w:hAnsi="黑体" w:eastAsia="黑体" w:cstheme="minorBidi"/>
          <w:b/>
          <w:sz w:val="32"/>
          <w:szCs w:val="32"/>
        </w:rPr>
      </w:pPr>
    </w:p>
    <w:p>
      <w:pPr>
        <w:pStyle w:val="19"/>
        <w:widowControl w:val="0"/>
        <w:tabs>
          <w:tab w:val="right" w:leader="dot" w:pos="9072"/>
        </w:tabs>
        <w:jc w:val="center"/>
        <w:rPr>
          <w:rFonts w:ascii="黑体" w:hAnsi="黑体" w:eastAsia="黑体" w:cstheme="minorBidi"/>
          <w:b/>
          <w:sz w:val="32"/>
          <w:szCs w:val="32"/>
        </w:rPr>
      </w:pPr>
    </w:p>
    <w:p>
      <w:pPr>
        <w:pStyle w:val="19"/>
        <w:widowControl w:val="0"/>
        <w:tabs>
          <w:tab w:val="right" w:leader="dot" w:pos="9072"/>
        </w:tabs>
        <w:jc w:val="center"/>
        <w:rPr>
          <w:rFonts w:ascii="黑体" w:hAnsi="黑体" w:eastAsia="黑体" w:cstheme="minorBidi"/>
          <w:b/>
          <w:sz w:val="32"/>
          <w:szCs w:val="32"/>
        </w:rPr>
      </w:pPr>
    </w:p>
    <w:p>
      <w:pPr>
        <w:pStyle w:val="19"/>
        <w:widowControl w:val="0"/>
        <w:tabs>
          <w:tab w:val="right" w:leader="dot" w:pos="9072"/>
        </w:tabs>
        <w:jc w:val="center"/>
        <w:rPr>
          <w:rFonts w:ascii="黑体" w:hAnsi="黑体" w:eastAsia="黑体" w:cstheme="minorBidi"/>
          <w:b/>
          <w:sz w:val="32"/>
          <w:szCs w:val="32"/>
        </w:rPr>
      </w:pPr>
    </w:p>
    <w:p>
      <w:pPr>
        <w:pStyle w:val="19"/>
        <w:widowControl w:val="0"/>
        <w:tabs>
          <w:tab w:val="right" w:leader="dot" w:pos="9072"/>
        </w:tabs>
        <w:jc w:val="center"/>
        <w:rPr>
          <w:rFonts w:ascii="黑体" w:hAnsi="黑体" w:eastAsia="黑体" w:cstheme="minorBidi"/>
          <w:b/>
          <w:sz w:val="32"/>
          <w:szCs w:val="32"/>
        </w:rPr>
      </w:pPr>
      <w:r>
        <w:rPr>
          <w:rFonts w:hint="eastAsia" w:ascii="黑体" w:hAnsi="黑体" w:eastAsia="黑体" w:cstheme="minorBidi"/>
          <w:b/>
          <w:sz w:val="32"/>
          <w:szCs w:val="32"/>
        </w:rPr>
        <w:t>第十三章  科学统筹发展和安全</w:t>
      </w:r>
    </w:p>
    <w:p>
      <w:pPr>
        <w:pStyle w:val="19"/>
        <w:widowControl w:val="0"/>
        <w:tabs>
          <w:tab w:val="right" w:leader="dot" w:pos="9072"/>
        </w:tabs>
        <w:spacing w:line="560" w:lineRule="exact"/>
        <w:ind w:firstLine="640" w:firstLineChars="200"/>
        <w:jc w:val="both"/>
        <w:rPr>
          <w:rFonts w:ascii="仿宋_GB2312" w:hAnsi="黑体" w:eastAsia="仿宋_GB2312" w:cstheme="minorBidi"/>
          <w:sz w:val="32"/>
          <w:szCs w:val="32"/>
        </w:rPr>
      </w:pPr>
      <w:r>
        <w:rPr>
          <w:rFonts w:hint="eastAsia" w:ascii="仿宋_GB2312" w:hAnsi="黑体" w:eastAsia="仿宋_GB2312" w:cstheme="minorBidi"/>
          <w:sz w:val="32"/>
          <w:szCs w:val="32"/>
        </w:rPr>
        <w:t>把法治和安全贯穿发展各领域和全过程，树立底线思维，以法治思想和法治方式统筹社会力量、平衡社会利益、调节社会关系、规范社会行为，防范化解各类风险。</w:t>
      </w:r>
    </w:p>
    <w:p>
      <w:pPr>
        <w:pStyle w:val="9"/>
        <w:widowControl w:val="0"/>
        <w:spacing w:before="0" w:after="0" w:line="560" w:lineRule="exact"/>
        <w:outlineLvl w:val="1"/>
        <w:rPr>
          <w:rFonts w:ascii="楷体" w:hAnsi="楷体" w:eastAsia="楷体" w:cs="楷体"/>
        </w:rPr>
      </w:pPr>
      <w:r>
        <w:rPr>
          <w:rFonts w:hint="eastAsia" w:ascii="楷体" w:hAnsi="楷体" w:eastAsia="楷体" w:cs="楷体"/>
        </w:rPr>
        <w:t>第一节</w:t>
      </w:r>
      <w:r>
        <w:rPr>
          <w:rFonts w:ascii="楷体" w:hAnsi="楷体" w:eastAsia="楷体" w:cs="楷体"/>
        </w:rPr>
        <w:t xml:space="preserve">  </w:t>
      </w:r>
      <w:r>
        <w:rPr>
          <w:rFonts w:hint="eastAsia" w:ascii="楷体" w:hAnsi="楷体" w:eastAsia="楷体" w:cs="楷体"/>
        </w:rPr>
        <w:t>全面推动法治琼海建设</w:t>
      </w:r>
    </w:p>
    <w:p>
      <w:pPr>
        <w:pStyle w:val="9"/>
        <w:widowControl w:val="0"/>
        <w:spacing w:before="0" w:after="0" w:line="560" w:lineRule="exact"/>
        <w:ind w:firstLine="640" w:firstLineChars="200"/>
        <w:jc w:val="both"/>
        <w:outlineLvl w:val="1"/>
        <w:rPr>
          <w:rFonts w:ascii="楷体" w:hAnsi="楷体" w:eastAsia="楷体" w:cs="楷体"/>
        </w:rPr>
      </w:pPr>
      <w:r>
        <w:rPr>
          <w:rFonts w:hint="eastAsia" w:ascii="仿宋_GB2312" w:hAnsi="仿宋_GB2312" w:eastAsia="仿宋_GB2312" w:cs="仿宋_GB2312"/>
          <w:b w:val="0"/>
        </w:rPr>
        <w:t>坚持依法治市、依法执政、依法行政共同推进。加强法治政府建设，完善行政复议体制改革，全面落实行政执法“三项制度”，建立健全重大行政决策事前、事中、事后评估评价制度，加强规范性文件的审查和监督。推进公共法律服务实体平台、热线平台、网络平台融合发展。深入开展法律知识的学习、宣传，重点做好《民法典》的宣传、实施。推进城乡基层治理体系建设，保障群众依法参与城乡基层治理和公平享有基本公共服务的权利。建立行业性、专业性调解中心，探索复议调解办案，加强法治乡村建设，积极开展民主法治示范村（社区）创建工作。完善综合执法改革，加大法治人才队伍建设，严格规范行政执法。推动党政主要负责人履行推进法治建设第一责任人职责，不断完善依法治市工作体制机制。提高司法公信力，努力让人民群众在每一个司法案件中感受到公平正义。</w:t>
      </w:r>
    </w:p>
    <w:p>
      <w:pPr>
        <w:pStyle w:val="9"/>
        <w:widowControl w:val="0"/>
        <w:spacing w:line="560" w:lineRule="exact"/>
        <w:outlineLvl w:val="1"/>
        <w:rPr>
          <w:rFonts w:ascii="楷体" w:hAnsi="楷体" w:eastAsia="楷体" w:cs="楷体"/>
        </w:rPr>
      </w:pPr>
      <w:r>
        <w:rPr>
          <w:rFonts w:hint="eastAsia" w:ascii="楷体" w:hAnsi="楷体" w:eastAsia="楷体" w:cs="楷体"/>
        </w:rPr>
        <w:t>第二节</w:t>
      </w:r>
      <w:r>
        <w:rPr>
          <w:rFonts w:ascii="楷体" w:hAnsi="楷体" w:eastAsia="楷体" w:cs="楷体"/>
        </w:rPr>
        <w:t xml:space="preserve">  </w:t>
      </w:r>
      <w:r>
        <w:rPr>
          <w:rFonts w:hint="eastAsia" w:ascii="楷体" w:hAnsi="楷体" w:eastAsia="楷体" w:cs="楷体"/>
        </w:rPr>
        <w:t>深入推进平安琼海建设</w:t>
      </w:r>
      <w:bookmarkEnd w:id="576"/>
      <w:bookmarkEnd w:id="577"/>
      <w:bookmarkEnd w:id="578"/>
      <w:bookmarkEnd w:id="579"/>
      <w:bookmarkEnd w:id="580"/>
      <w:bookmarkEnd w:id="581"/>
      <w:bookmarkEnd w:id="582"/>
      <w:bookmarkEnd w:id="583"/>
      <w:bookmarkEnd w:id="584"/>
      <w:bookmarkEnd w:id="585"/>
      <w:bookmarkEnd w:id="586"/>
    </w:p>
    <w:p>
      <w:pPr>
        <w:pStyle w:val="3"/>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化推进更高水平“平安琼海”建设，将琼海打造成全国最安全的地区和重大活动安保示范城市之一。完善健全综治中心、社管平台、网格化服务管理、矛盾纠纷多元化解“四位一体”建设，确保基层综合治理能力和质量保持在全省前列。强力推进扫黑除恶专项斗争、新一轮禁毒三年大会战、反走私、反偷渡和打击整治网络电信诈骗、“黄赌”等治安突出问题专项整治。深化“</w:t>
      </w:r>
      <w:r>
        <w:rPr>
          <w:rFonts w:ascii="仿宋_GB2312" w:hAnsi="仿宋_GB2312" w:eastAsia="仿宋_GB2312" w:cs="仿宋_GB2312"/>
          <w:sz w:val="32"/>
          <w:szCs w:val="32"/>
        </w:rPr>
        <w:t>5G+智慧警务”应用，切实提升警务工作的数字化战斗力和智能化水平。</w:t>
      </w:r>
      <w:r>
        <w:rPr>
          <w:rFonts w:hint="eastAsia" w:ascii="仿宋_GB2312" w:hAnsi="仿宋_GB2312" w:eastAsia="仿宋_GB2312" w:cs="仿宋_GB2312"/>
          <w:sz w:val="32"/>
          <w:szCs w:val="32"/>
        </w:rPr>
        <w:t>开展交通精细化组织专项规划，</w:t>
      </w:r>
      <w:r>
        <w:rPr>
          <w:rFonts w:ascii="仿宋_GB2312" w:hAnsi="仿宋_GB2312" w:eastAsia="仿宋_GB2312" w:cs="仿宋_GB2312"/>
          <w:sz w:val="32"/>
          <w:szCs w:val="32"/>
        </w:rPr>
        <w:t>更高水平创建智能交通示范城市，将琼海智能交通管理系统打造成为国内领先、海南一流的智能交通示范体系。</w:t>
      </w:r>
      <w:r>
        <w:rPr>
          <w:rFonts w:ascii="仿宋_GB2312" w:hAnsi="仿宋_GB2312" w:eastAsia="仿宋_GB2312" w:cs="仿宋_GB2312"/>
          <w:color w:val="FF0000"/>
          <w:sz w:val="32"/>
          <w:szCs w:val="32"/>
        </w:rPr>
        <w:t>加强博鳌亚洲论坛安保综合指挥保障基地建设，全力构筑具有国际一流水准和现代化水平的警卫安保新模式。</w:t>
      </w:r>
      <w:r>
        <w:rPr>
          <w:rFonts w:ascii="仿宋_GB2312" w:hAnsi="仿宋_GB2312" w:eastAsia="仿宋_GB2312" w:cs="仿宋_GB2312"/>
          <w:sz w:val="32"/>
          <w:szCs w:val="32"/>
        </w:rPr>
        <w:t>深化外向型智慧型警队和公安基础保障体系建设，建立健全消防保障机制和消防安全风险信息管理平台，抓好海上安全生产，协调发展人民防空工程建设。</w:t>
      </w:r>
      <w:r>
        <w:rPr>
          <w:rFonts w:hint="eastAsia" w:ascii="仿宋_GB2312" w:hAnsi="仿宋_GB2312" w:eastAsia="仿宋_GB2312" w:cs="仿宋_GB2312"/>
          <w:sz w:val="32"/>
          <w:szCs w:val="32"/>
        </w:rPr>
        <w:t>强化应急救援建设，提升隐患风险防范能力和应急救援处置能力，持续推进应急管理体系建设。建设防灾减灾救灾数据中心和综合防灾减灾体验基地，加强防雷安全监管，构建现代化防灾减灾救灾体系，加强城乡社区治理和服务体系建设，减轻基层特别是村级组织负担，加强基层社会治理队伍建设，构建网格化管理、精细化服务、信息化支撑、开放共享的基层管理服务平台。</w:t>
      </w:r>
    </w:p>
    <w:tbl>
      <w:tblPr>
        <w:tblStyle w:val="1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288" w:type="dxa"/>
          </w:tcPr>
          <w:p>
            <w:pPr>
              <w:widowControl w:val="0"/>
              <w:spacing w:line="460" w:lineRule="exact"/>
              <w:jc w:val="center"/>
              <w:rPr>
                <w:rFonts w:ascii="Times New Roman" w:hAnsi="Times New Roman" w:eastAsia="黑体"/>
                <w:b/>
                <w:sz w:val="28"/>
                <w:szCs w:val="28"/>
              </w:rPr>
            </w:pPr>
            <w:r>
              <w:rPr>
                <w:rFonts w:hint="eastAsia" w:ascii="黑体" w:hAnsi="黑体" w:eastAsia="黑体"/>
                <w:b/>
                <w:sz w:val="28"/>
                <w:szCs w:val="28"/>
              </w:rPr>
              <w:t>专栏</w:t>
            </w:r>
            <w:r>
              <w:rPr>
                <w:rFonts w:ascii="黑体" w:hAnsi="黑体" w:eastAsia="黑体"/>
                <w:b/>
                <w:sz w:val="28"/>
                <w:szCs w:val="28"/>
              </w:rPr>
              <w:t>2</w:t>
            </w:r>
            <w:r>
              <w:rPr>
                <w:rFonts w:hint="eastAsia" w:ascii="黑体" w:hAnsi="黑体" w:eastAsia="黑体"/>
                <w:b/>
                <w:sz w:val="28"/>
                <w:szCs w:val="28"/>
              </w:rPr>
              <w:t>5</w:t>
            </w:r>
            <w:r>
              <w:rPr>
                <w:rFonts w:ascii="黑体" w:hAnsi="黑体" w:eastAsia="黑体"/>
                <w:b/>
                <w:sz w:val="28"/>
                <w:szCs w:val="28"/>
              </w:rPr>
              <w:t>：“十四五”时期平安琼海建设重点工程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8" w:type="dxa"/>
          </w:tcPr>
          <w:p>
            <w:pPr>
              <w:widowControl w:val="0"/>
              <w:spacing w:line="52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01.</w:t>
            </w:r>
            <w:r>
              <w:rPr>
                <w:rFonts w:hint="eastAsia" w:ascii="楷体_GB2312" w:hAnsi="楷体_GB2312" w:eastAsia="楷体_GB2312" w:cs="楷体_GB2312"/>
                <w:b/>
                <w:sz w:val="28"/>
                <w:szCs w:val="28"/>
              </w:rPr>
              <w:t>社会管理信息化平台一期建设项目</w:t>
            </w:r>
          </w:p>
          <w:p>
            <w:pPr>
              <w:widowControl w:val="0"/>
              <w:spacing w:line="520" w:lineRule="exact"/>
              <w:ind w:firstLine="540" w:firstLineChars="19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建设社管平台（一期）工程，包括建设市级总体平台、综治分平台、公安分平台、应急消防分平台和环岛边海防立体防控分平台（省级统建，市县使用）。</w:t>
            </w:r>
          </w:p>
          <w:p>
            <w:pPr>
              <w:widowControl w:val="0"/>
              <w:spacing w:line="52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02.深化创建“枫桥式公安派出所”</w:t>
            </w:r>
          </w:p>
          <w:p>
            <w:pPr>
              <w:widowControl w:val="0"/>
              <w:spacing w:line="520" w:lineRule="exact"/>
              <w:ind w:firstLine="540" w:firstLineChars="193"/>
              <w:rPr>
                <w:rFonts w:ascii="仿宋_GB2312" w:hAnsi="仿宋_GB2312" w:eastAsia="仿宋_GB2312" w:cs="仿宋_GB2312"/>
                <w:sz w:val="28"/>
                <w:szCs w:val="28"/>
              </w:rPr>
            </w:pPr>
            <w:r>
              <w:rPr>
                <w:rFonts w:hint="eastAsia" w:ascii="仿宋_GB2312" w:hAnsi="仿宋_GB2312" w:eastAsia="仿宋_GB2312" w:cs="仿宋_GB2312"/>
                <w:sz w:val="28"/>
                <w:szCs w:val="28"/>
              </w:rPr>
              <w:t>全面整合各类司法综治和民兵力量，推进网格化防控，完善工作联动、问题联治、平安联创警民共治“三联”等基层社会治理机制。</w:t>
            </w:r>
          </w:p>
          <w:p>
            <w:pPr>
              <w:widowControl w:val="0"/>
              <w:spacing w:line="52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03.“5G+智慧警务”应用工程</w:t>
            </w:r>
          </w:p>
          <w:p>
            <w:pPr>
              <w:widowControl w:val="0"/>
              <w:spacing w:line="520" w:lineRule="exact"/>
              <w:ind w:firstLine="540" w:firstLineChars="193"/>
              <w:rPr>
                <w:rFonts w:ascii="仿宋_GB2312" w:hAnsi="仿宋_GB2312" w:eastAsia="仿宋_GB2312" w:cs="仿宋_GB2312"/>
                <w:sz w:val="28"/>
                <w:szCs w:val="28"/>
              </w:rPr>
            </w:pPr>
            <w:r>
              <w:rPr>
                <w:rFonts w:hint="eastAsia" w:ascii="仿宋_GB2312" w:hAnsi="仿宋_GB2312" w:eastAsia="仿宋_GB2312" w:cs="仿宋_GB2312"/>
                <w:sz w:val="28"/>
                <w:szCs w:val="28"/>
              </w:rPr>
              <w:t>统筹推进公安大数据中心和实战平台、视频图像综合平台、智慧监所等项目建设，提升对重点区域、安保防控圈的覆盖度，深入推进数据汇聚和融合共享，实现“一线放开、二线高效管住”目标。</w:t>
            </w:r>
          </w:p>
          <w:p>
            <w:pPr>
              <w:widowControl w:val="0"/>
              <w:spacing w:line="520" w:lineRule="exact"/>
              <w:ind w:firstLine="542" w:firstLineChars="193"/>
              <w:rPr>
                <w:rFonts w:ascii="楷体_GB2312" w:hAnsi="楷体_GB2312" w:eastAsia="楷体_GB2312" w:cs="楷体_GB2312"/>
                <w:b/>
                <w:color w:val="FF0000"/>
                <w:sz w:val="28"/>
                <w:szCs w:val="28"/>
              </w:rPr>
            </w:pPr>
            <w:r>
              <w:rPr>
                <w:rFonts w:ascii="楷体_GB2312" w:hAnsi="楷体_GB2312" w:eastAsia="楷体_GB2312" w:cs="楷体_GB2312"/>
                <w:b/>
                <w:color w:val="FF0000"/>
                <w:sz w:val="28"/>
                <w:szCs w:val="28"/>
              </w:rPr>
              <w:t>04.博鳌亚洲论坛现代化警卫安保示范基地</w:t>
            </w:r>
          </w:p>
          <w:p>
            <w:pPr>
              <w:widowControl w:val="0"/>
              <w:spacing w:line="520" w:lineRule="exact"/>
              <w:ind w:firstLine="540" w:firstLineChars="193"/>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建设智能综合指挥部和综合型安保工作保障基地，承担指挥办公、驻勤屯警、轮值轮训及警务装备存储等功能，同时开展安保警卫常态化、专业化培训，迅速提升重大安保警卫工作现代化、专业化、科技化水平。</w:t>
            </w:r>
          </w:p>
          <w:p>
            <w:pPr>
              <w:widowControl w:val="0"/>
              <w:spacing w:line="52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05.深化智能交通示范城市创建</w:t>
            </w:r>
          </w:p>
          <w:p>
            <w:pPr>
              <w:widowControl w:val="0"/>
              <w:spacing w:line="520" w:lineRule="exact"/>
              <w:ind w:firstLine="540" w:firstLineChars="193"/>
              <w:rPr>
                <w:rFonts w:ascii="仿宋_GB2312" w:hAnsi="仿宋_GB2312" w:eastAsia="仿宋_GB2312" w:cs="仿宋_GB2312"/>
                <w:sz w:val="28"/>
                <w:szCs w:val="28"/>
              </w:rPr>
            </w:pPr>
            <w:r>
              <w:rPr>
                <w:rFonts w:hint="eastAsia" w:ascii="仿宋_GB2312" w:hAnsi="仿宋_GB2312" w:eastAsia="仿宋_GB2312" w:cs="仿宋_GB2312"/>
                <w:sz w:val="28"/>
                <w:szCs w:val="28"/>
              </w:rPr>
              <w:t>推进智慧交通体系建设，建立自动感知、反应快速、安全可靠的现代化和规范化公安交通管理和服务体系。</w:t>
            </w:r>
          </w:p>
          <w:p>
            <w:pPr>
              <w:widowControl w:val="0"/>
              <w:spacing w:line="520" w:lineRule="exact"/>
              <w:ind w:firstLine="542" w:firstLineChars="193"/>
              <w:rPr>
                <w:rFonts w:ascii="楷体_GB2312" w:hAnsi="楷体_GB2312" w:eastAsia="楷体_GB2312" w:cs="楷体_GB2312"/>
                <w:b/>
                <w:sz w:val="28"/>
                <w:szCs w:val="28"/>
              </w:rPr>
            </w:pPr>
            <w:r>
              <w:rPr>
                <w:rFonts w:ascii="楷体_GB2312" w:hAnsi="楷体_GB2312" w:eastAsia="楷体_GB2312" w:cs="楷体_GB2312"/>
                <w:b/>
                <w:sz w:val="28"/>
                <w:szCs w:val="28"/>
              </w:rPr>
              <w:t>06.公安基础保障体系建设</w:t>
            </w:r>
          </w:p>
          <w:p>
            <w:pPr>
              <w:widowControl w:val="0"/>
              <w:spacing w:line="520" w:lineRule="exact"/>
              <w:ind w:firstLine="540" w:firstLineChars="193"/>
              <w:rPr>
                <w:rFonts w:ascii="仿宋_GB2312" w:hAnsi="仿宋_GB2312" w:eastAsia="仿宋_GB2312" w:cs="仿宋_GB2312"/>
                <w:sz w:val="28"/>
                <w:szCs w:val="28"/>
              </w:rPr>
            </w:pPr>
            <w:r>
              <w:rPr>
                <w:rFonts w:hint="eastAsia" w:ascii="仿宋_GB2312" w:hAnsi="仿宋_GB2312" w:eastAsia="仿宋_GB2312" w:cs="仿宋_GB2312"/>
                <w:sz w:val="28"/>
                <w:szCs w:val="28"/>
              </w:rPr>
              <w:t>深化特巡警屯警教育培训基地（海南省特警东部基地）、刑事侦查、交通管理业务技术用房、执法办案中心、主要交通道路公安检查站等基础项目建设。加强刑事技术、技术侦察、网络侦察防控、反恐处突以及特殊岗位等公安装备、设备保障，提高公安装备智能化管理水平。</w:t>
            </w:r>
          </w:p>
          <w:p>
            <w:pPr>
              <w:widowControl w:val="0"/>
              <w:spacing w:line="520" w:lineRule="exact"/>
              <w:ind w:firstLine="542" w:firstLineChars="193"/>
              <w:rPr>
                <w:rFonts w:ascii="楷体" w:hAnsi="楷体" w:eastAsia="楷体" w:cs="楷体"/>
                <w:b/>
                <w:bCs/>
                <w:sz w:val="28"/>
                <w:szCs w:val="28"/>
              </w:rPr>
            </w:pPr>
            <w:r>
              <w:rPr>
                <w:rFonts w:ascii="楷体" w:hAnsi="楷体" w:eastAsia="楷体" w:cs="楷体"/>
                <w:b/>
                <w:bCs/>
                <w:sz w:val="28"/>
                <w:szCs w:val="28"/>
              </w:rPr>
              <w:t>0</w:t>
            </w:r>
            <w:r>
              <w:rPr>
                <w:rFonts w:hint="eastAsia" w:ascii="楷体" w:hAnsi="楷体" w:eastAsia="楷体" w:cs="楷体"/>
                <w:b/>
                <w:bCs/>
                <w:sz w:val="28"/>
                <w:szCs w:val="28"/>
              </w:rPr>
              <w:t>7</w:t>
            </w:r>
            <w:r>
              <w:rPr>
                <w:rFonts w:ascii="楷体" w:hAnsi="楷体" w:eastAsia="楷体" w:cs="楷体"/>
                <w:b/>
                <w:bCs/>
                <w:sz w:val="28"/>
                <w:szCs w:val="28"/>
              </w:rPr>
              <w:t>.</w:t>
            </w:r>
            <w:r>
              <w:rPr>
                <w:rFonts w:hint="eastAsia" w:ascii="楷体" w:hAnsi="楷体" w:eastAsia="楷体" w:cs="楷体"/>
                <w:b/>
                <w:bCs/>
                <w:sz w:val="28"/>
                <w:szCs w:val="28"/>
              </w:rPr>
              <w:t>消防提质升级工程</w:t>
            </w:r>
          </w:p>
          <w:p>
            <w:pPr>
              <w:widowControl w:val="0"/>
              <w:spacing w:line="520" w:lineRule="exact"/>
              <w:ind w:firstLine="540" w:firstLineChars="193"/>
              <w:rPr>
                <w:rFonts w:ascii="楷体_GB2312" w:hAnsi="楷体_GB2312" w:eastAsia="仿宋_GB2312" w:cs="楷体_GB2312"/>
                <w:b/>
                <w:sz w:val="28"/>
                <w:szCs w:val="28"/>
              </w:rPr>
            </w:pPr>
            <w:r>
              <w:rPr>
                <w:rFonts w:hint="eastAsia" w:ascii="仿宋_GB2312" w:hAnsi="仿宋_GB2312" w:eastAsia="仿宋_GB2312" w:cs="仿宋_GB2312"/>
                <w:sz w:val="28"/>
                <w:szCs w:val="28"/>
              </w:rPr>
              <w:t>建设潭门、会山、上埇、官塘、长坡、中原、大路、乐城等</w:t>
            </w:r>
            <w:r>
              <w:rPr>
                <w:rFonts w:ascii="仿宋_GB2312" w:hAnsi="仿宋_GB2312" w:eastAsia="仿宋_GB2312" w:cs="仿宋_GB2312"/>
                <w:sz w:val="28"/>
                <w:szCs w:val="28"/>
              </w:rPr>
              <w:t>8个消防站及万泉、嘉积等3个小型消防站和消防救援实战化训练基地、应急教育馆等公共基础设施建设</w:t>
            </w:r>
            <w:r>
              <w:rPr>
                <w:rFonts w:hint="eastAsia" w:ascii="仿宋_GB2312" w:hAnsi="仿宋_GB2312" w:eastAsia="仿宋_GB2312" w:cs="仿宋_GB2312"/>
                <w:sz w:val="28"/>
                <w:szCs w:val="28"/>
              </w:rPr>
              <w:t>。加强消防智慧化改造，包括智能接处警系统、消防水源智慧监管平台、实战化指挥平台、火眼火灾视频监控系统、支队接处警指挥中心改造、火灾预警联动系统、博鳌消防安保监管调度平台等。优化升级消防装备建设，配齐配强各类消防救援装备器材及车辆。</w:t>
            </w:r>
          </w:p>
        </w:tc>
      </w:tr>
    </w:tbl>
    <w:p>
      <w:pPr>
        <w:pStyle w:val="9"/>
        <w:widowControl w:val="0"/>
        <w:numPr>
          <w:ilvl w:val="255"/>
          <w:numId w:val="0"/>
        </w:numPr>
        <w:spacing w:line="540" w:lineRule="exact"/>
        <w:ind w:firstLine="482"/>
        <w:outlineLvl w:val="1"/>
        <w:rPr>
          <w:rFonts w:ascii="楷体" w:hAnsi="楷体" w:eastAsia="楷体" w:cs="楷体"/>
        </w:rPr>
      </w:pPr>
      <w:bookmarkStart w:id="587" w:name="_Toc22973455"/>
      <w:bookmarkEnd w:id="587"/>
      <w:bookmarkStart w:id="588" w:name="_Toc30246"/>
      <w:bookmarkStart w:id="589" w:name="_Toc9244"/>
      <w:bookmarkStart w:id="590" w:name="_Toc11124"/>
      <w:bookmarkStart w:id="591" w:name="_Toc21466"/>
      <w:bookmarkStart w:id="592" w:name="_Toc22973457"/>
      <w:bookmarkStart w:id="593" w:name="_Toc26464"/>
      <w:bookmarkStart w:id="594" w:name="_Toc14871"/>
      <w:bookmarkStart w:id="595" w:name="_Toc56346995"/>
      <w:r>
        <w:rPr>
          <w:rFonts w:hint="eastAsia" w:ascii="楷体" w:hAnsi="楷体" w:eastAsia="楷体" w:cs="楷体"/>
        </w:rPr>
        <w:t>第三节  防范化解重大风险</w:t>
      </w:r>
    </w:p>
    <w:p>
      <w:pPr>
        <w:pStyle w:val="15"/>
        <w:widowControl w:val="0"/>
        <w:numPr>
          <w:ilvl w:val="255"/>
          <w:numId w:val="0"/>
        </w:numPr>
        <w:spacing w:line="540" w:lineRule="exact"/>
        <w:ind w:firstLine="640" w:firstLineChars="200"/>
        <w:jc w:val="both"/>
        <w:rPr>
          <w:rFonts w:ascii="仿宋_GB2312" w:hAnsi="仿宋_GB2312" w:eastAsia="仿宋_GB2312" w:cs="仿宋_GB2312"/>
          <w:color w:val="auto"/>
          <w:sz w:val="32"/>
          <w:szCs w:val="32"/>
        </w:rPr>
      </w:pPr>
      <w:r>
        <w:rPr>
          <w:rFonts w:hint="eastAsia" w:ascii="仿宋_GB2312" w:eastAsia="仿宋_GB2312" w:cs="仿宋_GB2312"/>
          <w:color w:val="auto"/>
          <w:sz w:val="32"/>
          <w:szCs w:val="32"/>
        </w:rPr>
        <w:t>提升防范和化解各种风险的治理能力，确保不发生系统性风险。完善税收综合监管机制，防范和打击逃税行为。建立健全资金流动监测和风险防控体系，加强反洗钱、反恐怖融资和反逃税审查。建立健全数据出境安全管理制度体系，完善与国际衔接的个人信息和重要数据出境安全评估标准、数据出境“白名单”等机制。推动县级疾病预防控制中心标准化建设，提升疫情监测预警和应急响应能力。健全安全生产机制，建立高效应急响应机制，加强安全生产应急救援设施建设，谋划建设综合应急救援物资基地和中心，提升应急救援处置能力。建立健全消防保障机制和消防安全风险信息管理平台，加强公共消防基础设施建设。统筹推进城乡防灾减灾救灾体系建设，提高灾害防抗救一体化能力和水平。加强口岸公共卫生安全、国门生物安全、食品安全、药品安全、产品质量安全管控。健全自由贸易港网络安全综合保障体系，强化保密风险防范，强化舆情研判及响应机制。</w:t>
      </w:r>
    </w:p>
    <w:bookmarkEnd w:id="588"/>
    <w:bookmarkEnd w:id="589"/>
    <w:bookmarkEnd w:id="590"/>
    <w:bookmarkEnd w:id="591"/>
    <w:p>
      <w:pPr>
        <w:pStyle w:val="9"/>
        <w:widowControl w:val="0"/>
        <w:spacing w:line="560" w:lineRule="exact"/>
        <w:rPr>
          <w:rFonts w:ascii="黑体" w:hAnsi="黑体" w:eastAsia="黑体"/>
        </w:rPr>
      </w:pPr>
      <w:bookmarkStart w:id="596" w:name="_Toc5741"/>
      <w:bookmarkStart w:id="597" w:name="_Toc5543"/>
      <w:bookmarkStart w:id="598" w:name="_Toc10246"/>
      <w:bookmarkStart w:id="599" w:name="_Toc9590"/>
      <w:bookmarkStart w:id="600" w:name="_Toc8156"/>
      <w:bookmarkStart w:id="601" w:name="_Toc23199"/>
      <w:bookmarkStart w:id="602" w:name="_Toc4692"/>
      <w:bookmarkStart w:id="603" w:name="_Toc174"/>
    </w:p>
    <w:p>
      <w:pPr>
        <w:rPr>
          <w:rFonts w:ascii="黑体" w:hAnsi="黑体" w:eastAsia="黑体"/>
        </w:rPr>
      </w:pPr>
    </w:p>
    <w:p>
      <w:pPr>
        <w:pStyle w:val="2"/>
        <w:rPr>
          <w:rFonts w:ascii="黑体" w:hAnsi="黑体" w:eastAsia="黑体"/>
        </w:rPr>
      </w:pPr>
    </w:p>
    <w:p>
      <w:pPr>
        <w:pStyle w:val="2"/>
        <w:rPr>
          <w:rFonts w:ascii="黑体" w:hAnsi="黑体" w:eastAsia="黑体"/>
        </w:rPr>
      </w:pPr>
    </w:p>
    <w:p>
      <w:pPr>
        <w:pStyle w:val="2"/>
        <w:rPr>
          <w:rFonts w:ascii="黑体" w:hAnsi="黑体" w:eastAsia="黑体"/>
        </w:rPr>
      </w:pPr>
    </w:p>
    <w:p>
      <w:pPr>
        <w:pStyle w:val="2"/>
        <w:rPr>
          <w:rFonts w:ascii="黑体" w:hAnsi="黑体" w:eastAsia="黑体"/>
        </w:rPr>
      </w:pPr>
    </w:p>
    <w:p>
      <w:pPr>
        <w:pStyle w:val="2"/>
        <w:rPr>
          <w:rFonts w:ascii="黑体" w:hAnsi="黑体" w:eastAsia="黑体"/>
        </w:rPr>
      </w:pPr>
    </w:p>
    <w:p>
      <w:pPr>
        <w:pStyle w:val="2"/>
        <w:rPr>
          <w:rFonts w:ascii="黑体" w:hAnsi="黑体" w:eastAsia="黑体"/>
        </w:rPr>
      </w:pPr>
    </w:p>
    <w:p>
      <w:pPr>
        <w:pStyle w:val="2"/>
        <w:rPr>
          <w:rFonts w:ascii="黑体" w:hAnsi="黑体" w:eastAsia="黑体"/>
        </w:rPr>
      </w:pPr>
    </w:p>
    <w:p/>
    <w:p>
      <w:pPr>
        <w:rPr>
          <w:rFonts w:ascii="黑体" w:hAnsi="黑体" w:eastAsia="黑体"/>
        </w:rPr>
      </w:pPr>
    </w:p>
    <w:p>
      <w:pPr>
        <w:pStyle w:val="2"/>
        <w:ind w:firstLine="640"/>
        <w:rPr>
          <w:rFonts w:ascii="黑体" w:hAnsi="黑体" w:eastAsia="黑体"/>
          <w:color w:val="auto"/>
        </w:rPr>
      </w:pPr>
    </w:p>
    <w:p>
      <w:pPr>
        <w:pStyle w:val="2"/>
        <w:ind w:firstLine="0" w:firstLineChars="0"/>
        <w:rPr>
          <w:rFonts w:ascii="黑体" w:hAnsi="黑体" w:eastAsia="黑体"/>
          <w:color w:val="auto"/>
        </w:rPr>
      </w:pPr>
    </w:p>
    <w:p>
      <w:pPr>
        <w:pStyle w:val="9"/>
        <w:widowControl w:val="0"/>
        <w:spacing w:line="560" w:lineRule="exact"/>
        <w:rPr>
          <w:rFonts w:ascii="黑体" w:hAnsi="黑体" w:eastAsia="黑体"/>
        </w:rPr>
      </w:pPr>
      <w:r>
        <w:rPr>
          <w:rFonts w:hint="eastAsia" w:ascii="黑体" w:hAnsi="黑体" w:eastAsia="黑体"/>
        </w:rPr>
        <w:t>第十四章</w:t>
      </w:r>
      <w:bookmarkEnd w:id="592"/>
      <w:bookmarkEnd w:id="593"/>
      <w:bookmarkEnd w:id="594"/>
      <w:bookmarkEnd w:id="595"/>
      <w:bookmarkEnd w:id="596"/>
      <w:bookmarkEnd w:id="597"/>
      <w:bookmarkEnd w:id="598"/>
      <w:bookmarkEnd w:id="599"/>
      <w:r>
        <w:rPr>
          <w:rFonts w:ascii="黑体" w:hAnsi="黑体" w:eastAsia="黑体"/>
        </w:rPr>
        <w:t xml:space="preserve">  强化</w:t>
      </w:r>
      <w:bookmarkEnd w:id="600"/>
      <w:bookmarkEnd w:id="601"/>
      <w:r>
        <w:rPr>
          <w:rFonts w:hint="eastAsia" w:ascii="黑体" w:hAnsi="黑体" w:eastAsia="黑体"/>
        </w:rPr>
        <w:t>规划实施保障</w:t>
      </w:r>
      <w:bookmarkEnd w:id="602"/>
      <w:bookmarkEnd w:id="603"/>
    </w:p>
    <w:p>
      <w:pPr>
        <w:widowControl w:val="0"/>
        <w:spacing w:line="580" w:lineRule="exact"/>
        <w:ind w:firstLine="640" w:firstLineChars="200"/>
        <w:rPr>
          <w:rFonts w:ascii="Times New Roman" w:hAnsi="Times New Roman" w:eastAsia="仿宋_GB2312" w:cs="仿宋_GB2312"/>
          <w:sz w:val="32"/>
          <w:szCs w:val="32"/>
        </w:rPr>
      </w:pPr>
      <w:bookmarkStart w:id="604" w:name="_Toc27167"/>
      <w:bookmarkStart w:id="605" w:name="_Toc2311"/>
      <w:bookmarkStart w:id="606" w:name="_Toc56346997"/>
      <w:bookmarkStart w:id="607" w:name="_Toc987"/>
      <w:bookmarkStart w:id="608" w:name="_Toc27782"/>
      <w:bookmarkStart w:id="609" w:name="_Toc23586"/>
      <w:bookmarkStart w:id="610" w:name="_Toc22973458"/>
      <w:bookmarkStart w:id="611" w:name="_Toc7107"/>
      <w:r>
        <w:rPr>
          <w:rFonts w:hint="eastAsia" w:ascii="Times New Roman" w:hAnsi="Times New Roman" w:eastAsia="仿宋_GB2312" w:cs="仿宋_GB2312"/>
          <w:sz w:val="32"/>
          <w:szCs w:val="32"/>
        </w:rPr>
        <w:t>毫不动摇坚持党的全面领导，强化党中央的决策部署、省委省政府工作部署和“十四五”规划要求落实落地，充分调动一切积极因素，广泛团结一切可以团结的力量，形成推动发展的强大合力。</w:t>
      </w:r>
    </w:p>
    <w:p>
      <w:pPr>
        <w:pStyle w:val="9"/>
        <w:widowControl w:val="0"/>
        <w:spacing w:before="0" w:after="0" w:line="560" w:lineRule="exact"/>
        <w:outlineLvl w:val="1"/>
        <w:rPr>
          <w:rFonts w:ascii="楷体" w:hAnsi="楷体" w:eastAsia="楷体"/>
        </w:rPr>
      </w:pPr>
      <w:bookmarkStart w:id="612" w:name="_Toc26068"/>
      <w:bookmarkStart w:id="613" w:name="_Toc19955"/>
      <w:bookmarkStart w:id="614" w:name="_Toc17180"/>
      <w:bookmarkStart w:id="615" w:name="_Toc4541"/>
      <w:r>
        <w:rPr>
          <w:rFonts w:hint="eastAsia" w:ascii="楷体" w:hAnsi="楷体" w:eastAsia="楷体"/>
        </w:rPr>
        <w:t>第一节</w:t>
      </w:r>
      <w:r>
        <w:rPr>
          <w:rFonts w:ascii="楷体" w:hAnsi="楷体" w:eastAsia="楷体"/>
        </w:rPr>
        <w:t xml:space="preserve">  </w:t>
      </w:r>
      <w:bookmarkEnd w:id="604"/>
      <w:bookmarkEnd w:id="605"/>
      <w:bookmarkEnd w:id="606"/>
      <w:bookmarkEnd w:id="607"/>
      <w:bookmarkEnd w:id="608"/>
      <w:bookmarkEnd w:id="609"/>
      <w:bookmarkEnd w:id="610"/>
      <w:bookmarkEnd w:id="611"/>
      <w:bookmarkEnd w:id="612"/>
      <w:bookmarkEnd w:id="613"/>
      <w:bookmarkEnd w:id="614"/>
      <w:bookmarkEnd w:id="615"/>
      <w:r>
        <w:rPr>
          <w:rFonts w:hint="eastAsia" w:ascii="楷体" w:hAnsi="楷体" w:eastAsia="楷体" w:cs="楷体"/>
        </w:rPr>
        <w:t>发挥党的领导核心作用</w:t>
      </w:r>
    </w:p>
    <w:p>
      <w:pPr>
        <w:widowControl w:val="0"/>
        <w:spacing w:line="580" w:lineRule="exact"/>
        <w:ind w:firstLine="694" w:firstLineChars="217"/>
        <w:rPr>
          <w:rFonts w:ascii="Times New Roman" w:hAnsi="Times New Roman" w:eastAsia="仿宋_GB2312" w:cs="仿宋_GB2312"/>
          <w:sz w:val="32"/>
          <w:szCs w:val="32"/>
        </w:rPr>
      </w:pPr>
      <w:r>
        <w:rPr>
          <w:rFonts w:hint="eastAsia" w:ascii="Times New Roman" w:hAnsi="Times New Roman" w:eastAsia="仿宋_GB2312" w:cs="仿宋_GB2312"/>
          <w:sz w:val="32"/>
          <w:szCs w:val="32"/>
        </w:rPr>
        <w:t>坚持用习近平新时代中国特色社会主义思想武装头脑、指导实践、推动工作。坚定执行党的政治路线，严格遵守政治纪律和政治规矩，在政治立场、政治方向、政治原则、政治道路上同以习近平同志为核心的党中央保持高度一致。牢固树立“四个意识”、坚定“四个自信”、坚决做到“两个维护”，坚决贯彻落实中央、省委决策部署。坚持市委总揽全局、协调各方的基本原则，发挥各级党委（党组）在同级各类组织中的领导核心作用，不断提高把方向、谋大局、定政策、促改革的能力。全面贯彻落实新时代党的组织路线，全面加强基层党组织建设，使其成为推进海南自由贸易港建设的坚强战斗堡垒。坚定不移纵深推进从严治党，保持刀刃向内的勇气，不断提高自我净化、自我完善、自我革新、自我提高能力，凝聚建设海南经济发展“第四极”的强大动力。</w:t>
      </w:r>
    </w:p>
    <w:p>
      <w:pPr>
        <w:pStyle w:val="9"/>
        <w:widowControl w:val="0"/>
        <w:spacing w:before="0" w:after="0" w:line="560" w:lineRule="exact"/>
        <w:outlineLvl w:val="1"/>
        <w:rPr>
          <w:rFonts w:ascii="楷体" w:hAnsi="楷体" w:eastAsia="楷体"/>
        </w:rPr>
      </w:pPr>
      <w:bookmarkStart w:id="616" w:name="_Toc7587"/>
      <w:bookmarkStart w:id="617" w:name="_Toc26198"/>
      <w:bookmarkStart w:id="618" w:name="_Toc6625"/>
      <w:bookmarkStart w:id="619" w:name="_Toc56346999"/>
      <w:bookmarkStart w:id="620" w:name="_Toc20220"/>
      <w:bookmarkStart w:id="621" w:name="_Toc22973460"/>
      <w:bookmarkStart w:id="622" w:name="_Toc3089"/>
      <w:bookmarkStart w:id="623" w:name="_Toc20770"/>
      <w:bookmarkStart w:id="624" w:name="_Toc23993"/>
      <w:bookmarkStart w:id="625" w:name="_Toc24681"/>
      <w:bookmarkStart w:id="626" w:name="_Toc14632"/>
      <w:bookmarkStart w:id="627" w:name="_Toc20500"/>
      <w:r>
        <w:rPr>
          <w:rFonts w:hint="eastAsia" w:ascii="楷体" w:hAnsi="楷体" w:eastAsia="楷体"/>
        </w:rPr>
        <w:t>第二节</w:t>
      </w:r>
      <w:r>
        <w:rPr>
          <w:rFonts w:ascii="楷体" w:hAnsi="楷体" w:eastAsia="楷体"/>
        </w:rPr>
        <w:t xml:space="preserve">  </w:t>
      </w:r>
      <w:r>
        <w:rPr>
          <w:rFonts w:hint="eastAsia" w:ascii="楷体" w:hAnsi="楷体" w:eastAsia="楷体"/>
        </w:rPr>
        <w:t>强化组织实施</w:t>
      </w:r>
      <w:bookmarkEnd w:id="616"/>
      <w:bookmarkEnd w:id="617"/>
      <w:bookmarkEnd w:id="618"/>
      <w:bookmarkEnd w:id="619"/>
      <w:bookmarkEnd w:id="620"/>
      <w:bookmarkEnd w:id="621"/>
      <w:bookmarkEnd w:id="622"/>
      <w:bookmarkEnd w:id="623"/>
      <w:bookmarkEnd w:id="624"/>
      <w:bookmarkEnd w:id="625"/>
      <w:bookmarkEnd w:id="626"/>
      <w:bookmarkEnd w:id="627"/>
    </w:p>
    <w:p>
      <w:pPr>
        <w:widowControl w:val="0"/>
        <w:spacing w:line="580" w:lineRule="exact"/>
        <w:ind w:firstLine="694" w:firstLineChars="217"/>
        <w:rPr>
          <w:sz w:val="32"/>
          <w:szCs w:val="32"/>
        </w:rPr>
      </w:pPr>
      <w:r>
        <w:rPr>
          <w:rFonts w:hint="eastAsia" w:ascii="仿宋_GB2312" w:hAnsi="仿宋_GB2312" w:eastAsia="仿宋_GB2312" w:cs="仿宋_GB2312"/>
          <w:sz w:val="32"/>
          <w:szCs w:val="32"/>
        </w:rPr>
        <w:t>开展规划实施情况动态监测和评估工作，把监测评估结果作为改进政府工作和绩效考核的重要依据，并依法向市人民代表大会常务委员会报告规划实施情况，自觉接受人大监督。发挥政治协商优势，接受政协民主监督。本规划确定的约束性指标以及重大工程、重大项目、重大政策和重要改革任务，要明确责任主体、实施进度要求，确保如期完成。对纳入本规划的重大工程项目，要简化审批核准程序，优先保障规划选址、土地供应和融资安排，保障项目实施。密切关注形势变化和风险演化，坚持守住底线，做好应对困难复杂局面准备。</w:t>
      </w:r>
    </w:p>
    <w:p>
      <w:pPr>
        <w:pStyle w:val="10"/>
        <w:widowControl w:val="0"/>
        <w:spacing w:after="0" w:line="580" w:lineRule="exact"/>
        <w:ind w:left="0" w:leftChars="0" w:firstLine="697" w:firstLineChars="217"/>
        <w:jc w:val="center"/>
        <w:outlineLvl w:val="1"/>
        <w:rPr>
          <w:rFonts w:ascii="楷体" w:hAnsi="楷体" w:eastAsia="楷体" w:cstheme="minorBidi"/>
          <w:b/>
          <w:sz w:val="32"/>
          <w:szCs w:val="32"/>
        </w:rPr>
      </w:pPr>
      <w:bookmarkStart w:id="628" w:name="_Toc27329"/>
      <w:r>
        <w:rPr>
          <w:rFonts w:hint="eastAsia" w:ascii="楷体" w:hAnsi="楷体" w:eastAsia="楷体" w:cstheme="minorBidi"/>
          <w:b/>
          <w:sz w:val="32"/>
          <w:szCs w:val="32"/>
        </w:rPr>
        <w:t>第三节</w:t>
      </w:r>
      <w:r>
        <w:rPr>
          <w:rFonts w:ascii="楷体" w:hAnsi="楷体" w:eastAsia="楷体" w:cstheme="minorBidi"/>
          <w:b/>
          <w:sz w:val="32"/>
          <w:szCs w:val="32"/>
        </w:rPr>
        <w:t xml:space="preserve">  </w:t>
      </w:r>
      <w:r>
        <w:rPr>
          <w:rFonts w:hint="eastAsia" w:ascii="楷体" w:hAnsi="楷体" w:eastAsia="楷体" w:cstheme="minorBidi"/>
          <w:b/>
          <w:sz w:val="32"/>
          <w:szCs w:val="32"/>
        </w:rPr>
        <w:t>加强监督评估考核</w:t>
      </w:r>
      <w:bookmarkEnd w:id="628"/>
    </w:p>
    <w:p>
      <w:pPr>
        <w:widowControl w:val="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LINK Word.Document.8 "C:\\Users\\Administrator\\Desktop\\P020160411384475021376.doc" "OLE_LINK1" \t \a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xml:space="preserve">    加强统计工作，顺应发展态势，建立健全统计监测指标体系和统计评价指标体系。创新统计方法，加快完善监测评估体系，实行动态监测，强化对规划实施情况跟踪分析，开展规划中期评估和专项监测，推动本规划顺利实施。规划实施中环境发生重大变化或因其它重要原因需要进行调整时，由市政府提出调整方案，报市人大常委会审议批准。在实施完成后，及时进行总结评估，为编制下一个五年规划提供基础。</w:t>
      </w:r>
      <w:r>
        <w:rPr>
          <w:rFonts w:hint="eastAsia" w:ascii="仿宋_GB2312" w:hAnsi="仿宋_GB2312" w:eastAsia="仿宋_GB2312" w:cs="仿宋_GB2312"/>
          <w:sz w:val="32"/>
          <w:szCs w:val="32"/>
        </w:rPr>
        <w:fldChar w:fldCharType="end"/>
      </w:r>
    </w:p>
    <w:sectPr>
      <w:footerReference r:id="rId5" w:type="default"/>
      <w:pgSz w:w="11906" w:h="16838"/>
      <w:pgMar w:top="1587" w:right="1417" w:bottom="1417" w:left="141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华文中宋">
    <w:altName w:val="汉仪中宋简"/>
    <w:panose1 w:val="02010600040101010101"/>
    <w:charset w:val="86"/>
    <w:family w:val="auto"/>
    <w:pitch w:val="default"/>
    <w:sig w:usb0="00000000" w:usb1="00000000" w:usb2="00000000" w:usb3="00000000" w:csb0="0004009F" w:csb1="DFD70000"/>
  </w:font>
  <w:font w:name="Calibri Light">
    <w:panose1 w:val="020F0302020204030204"/>
    <w:charset w:val="00"/>
    <w:family w:val="roman"/>
    <w:pitch w:val="default"/>
    <w:sig w:usb0="E4002EFF" w:usb1="C000247B" w:usb2="00000009" w:usb3="00000000" w:csb0="200001FF" w:csb1="00000000"/>
  </w:font>
  <w:font w:name="方正大标宋简体">
    <w:altName w:val="微软雅黑"/>
    <w:panose1 w:val="00000000000000000000"/>
    <w:charset w:val="86"/>
    <w:family w:val="auto"/>
    <w:pitch w:val="default"/>
    <w:sig w:usb0="00000000" w:usb1="00000000" w:usb2="00000000" w:usb3="00000000" w:csb0="00040000" w:csb1="00000000"/>
  </w:font>
  <w:font w:name="方正宋黑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2"/>
        <w:szCs w:val="22"/>
      </w:rPr>
    </w:pPr>
    <w:r>
      <w:rPr>
        <w:sz w:val="22"/>
        <w:szCs w:val="22"/>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pPr>
                  <w:pStyle w:val="6"/>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- 17 -</w:t>
                </w:r>
                <w:r>
                  <w:rPr>
                    <w:rFonts w:hint="eastAsia"/>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000000"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C7A80"/>
    <w:rsid w:val="00003335"/>
    <w:rsid w:val="00013D12"/>
    <w:rsid w:val="0001707B"/>
    <w:rsid w:val="0002338B"/>
    <w:rsid w:val="000263F7"/>
    <w:rsid w:val="00051DBC"/>
    <w:rsid w:val="00053A11"/>
    <w:rsid w:val="00060364"/>
    <w:rsid w:val="00073998"/>
    <w:rsid w:val="00084140"/>
    <w:rsid w:val="00090C7A"/>
    <w:rsid w:val="000B33EC"/>
    <w:rsid w:val="000C5CD2"/>
    <w:rsid w:val="000E024C"/>
    <w:rsid w:val="000F0FB0"/>
    <w:rsid w:val="00113CA2"/>
    <w:rsid w:val="00126756"/>
    <w:rsid w:val="0014465E"/>
    <w:rsid w:val="00162929"/>
    <w:rsid w:val="001852B4"/>
    <w:rsid w:val="001A6BDB"/>
    <w:rsid w:val="001A71D1"/>
    <w:rsid w:val="001C313B"/>
    <w:rsid w:val="001C74D6"/>
    <w:rsid w:val="001E5014"/>
    <w:rsid w:val="001F2A62"/>
    <w:rsid w:val="002459D8"/>
    <w:rsid w:val="00246F66"/>
    <w:rsid w:val="0025449F"/>
    <w:rsid w:val="00275473"/>
    <w:rsid w:val="00294AF4"/>
    <w:rsid w:val="002E67E8"/>
    <w:rsid w:val="00307D26"/>
    <w:rsid w:val="00344187"/>
    <w:rsid w:val="00391E3A"/>
    <w:rsid w:val="003A5B9F"/>
    <w:rsid w:val="003D154B"/>
    <w:rsid w:val="003D2865"/>
    <w:rsid w:val="00461F7F"/>
    <w:rsid w:val="00467EAF"/>
    <w:rsid w:val="00486633"/>
    <w:rsid w:val="004B497A"/>
    <w:rsid w:val="004D15A6"/>
    <w:rsid w:val="0056105E"/>
    <w:rsid w:val="005745F1"/>
    <w:rsid w:val="00595435"/>
    <w:rsid w:val="005C7A80"/>
    <w:rsid w:val="005E0775"/>
    <w:rsid w:val="005E45C1"/>
    <w:rsid w:val="00620742"/>
    <w:rsid w:val="00637162"/>
    <w:rsid w:val="006550F8"/>
    <w:rsid w:val="006849C0"/>
    <w:rsid w:val="00694779"/>
    <w:rsid w:val="006A13FC"/>
    <w:rsid w:val="006D1B3C"/>
    <w:rsid w:val="006E1581"/>
    <w:rsid w:val="006F20E2"/>
    <w:rsid w:val="00745ED9"/>
    <w:rsid w:val="00752281"/>
    <w:rsid w:val="00783316"/>
    <w:rsid w:val="00787473"/>
    <w:rsid w:val="007A0808"/>
    <w:rsid w:val="007C47F8"/>
    <w:rsid w:val="007E22A0"/>
    <w:rsid w:val="0082798F"/>
    <w:rsid w:val="00867731"/>
    <w:rsid w:val="008813B1"/>
    <w:rsid w:val="008A1383"/>
    <w:rsid w:val="008C51AD"/>
    <w:rsid w:val="00933BFF"/>
    <w:rsid w:val="009525C6"/>
    <w:rsid w:val="009726BD"/>
    <w:rsid w:val="009D74E0"/>
    <w:rsid w:val="009E5B41"/>
    <w:rsid w:val="009F2B16"/>
    <w:rsid w:val="009F46E3"/>
    <w:rsid w:val="00A06BA6"/>
    <w:rsid w:val="00A3702E"/>
    <w:rsid w:val="00A90572"/>
    <w:rsid w:val="00AE389A"/>
    <w:rsid w:val="00B17D3B"/>
    <w:rsid w:val="00B56B3E"/>
    <w:rsid w:val="00B7123B"/>
    <w:rsid w:val="00B76A7E"/>
    <w:rsid w:val="00C12355"/>
    <w:rsid w:val="00C14377"/>
    <w:rsid w:val="00C8648B"/>
    <w:rsid w:val="00CB2AE7"/>
    <w:rsid w:val="00CF21A4"/>
    <w:rsid w:val="00D214DD"/>
    <w:rsid w:val="00D32869"/>
    <w:rsid w:val="00D34C96"/>
    <w:rsid w:val="00D471AA"/>
    <w:rsid w:val="00D9354D"/>
    <w:rsid w:val="00DC3D4B"/>
    <w:rsid w:val="00DD5D3D"/>
    <w:rsid w:val="00DF652C"/>
    <w:rsid w:val="00E06159"/>
    <w:rsid w:val="00E21EE0"/>
    <w:rsid w:val="00E41D7B"/>
    <w:rsid w:val="00E47096"/>
    <w:rsid w:val="00EA1C0C"/>
    <w:rsid w:val="00EB1BFF"/>
    <w:rsid w:val="00F1170E"/>
    <w:rsid w:val="00F163DB"/>
    <w:rsid w:val="00F37CC4"/>
    <w:rsid w:val="00F75310"/>
    <w:rsid w:val="00F97409"/>
    <w:rsid w:val="00FA3649"/>
    <w:rsid w:val="00FE0E71"/>
    <w:rsid w:val="00FF59EA"/>
    <w:rsid w:val="013C058D"/>
    <w:rsid w:val="014879CF"/>
    <w:rsid w:val="01E57D00"/>
    <w:rsid w:val="021107FA"/>
    <w:rsid w:val="023040E6"/>
    <w:rsid w:val="02444B80"/>
    <w:rsid w:val="025E2B18"/>
    <w:rsid w:val="02A51C05"/>
    <w:rsid w:val="02EA2559"/>
    <w:rsid w:val="03276503"/>
    <w:rsid w:val="033E55F1"/>
    <w:rsid w:val="03883503"/>
    <w:rsid w:val="03BE724D"/>
    <w:rsid w:val="04050296"/>
    <w:rsid w:val="040A2098"/>
    <w:rsid w:val="04161AA9"/>
    <w:rsid w:val="043D7BC1"/>
    <w:rsid w:val="04AC3AFB"/>
    <w:rsid w:val="05CC5532"/>
    <w:rsid w:val="06694492"/>
    <w:rsid w:val="06987331"/>
    <w:rsid w:val="069E57FA"/>
    <w:rsid w:val="07583895"/>
    <w:rsid w:val="076070E8"/>
    <w:rsid w:val="077718DA"/>
    <w:rsid w:val="078D1EB5"/>
    <w:rsid w:val="07916E86"/>
    <w:rsid w:val="079D6001"/>
    <w:rsid w:val="07FF22A5"/>
    <w:rsid w:val="07FF7FAB"/>
    <w:rsid w:val="08CE0007"/>
    <w:rsid w:val="09137DB5"/>
    <w:rsid w:val="095D2A82"/>
    <w:rsid w:val="097C2188"/>
    <w:rsid w:val="097F2587"/>
    <w:rsid w:val="09A50753"/>
    <w:rsid w:val="09AB4D40"/>
    <w:rsid w:val="09B44087"/>
    <w:rsid w:val="0A3513BF"/>
    <w:rsid w:val="0A373EFF"/>
    <w:rsid w:val="0A5E6F97"/>
    <w:rsid w:val="0B043E2B"/>
    <w:rsid w:val="0BC068D4"/>
    <w:rsid w:val="0C0B42A0"/>
    <w:rsid w:val="0CC86C62"/>
    <w:rsid w:val="0D1F13DD"/>
    <w:rsid w:val="0D234064"/>
    <w:rsid w:val="0D25408B"/>
    <w:rsid w:val="0D2F0E08"/>
    <w:rsid w:val="0D312D78"/>
    <w:rsid w:val="0D50080A"/>
    <w:rsid w:val="0D8D47FA"/>
    <w:rsid w:val="0D925402"/>
    <w:rsid w:val="0DBC7C23"/>
    <w:rsid w:val="0DC86147"/>
    <w:rsid w:val="0DDB3206"/>
    <w:rsid w:val="0DED6136"/>
    <w:rsid w:val="0E3F2F04"/>
    <w:rsid w:val="0E5D2353"/>
    <w:rsid w:val="0E624932"/>
    <w:rsid w:val="0E6C45CF"/>
    <w:rsid w:val="0E8F1E47"/>
    <w:rsid w:val="0EA70262"/>
    <w:rsid w:val="0EDF3BD4"/>
    <w:rsid w:val="0F523497"/>
    <w:rsid w:val="0F82177E"/>
    <w:rsid w:val="0F883601"/>
    <w:rsid w:val="0FE633D3"/>
    <w:rsid w:val="0FE87FC4"/>
    <w:rsid w:val="0FE95D36"/>
    <w:rsid w:val="0FEF23E0"/>
    <w:rsid w:val="10F63C9D"/>
    <w:rsid w:val="11461B1C"/>
    <w:rsid w:val="116909B9"/>
    <w:rsid w:val="117D126E"/>
    <w:rsid w:val="11970B60"/>
    <w:rsid w:val="11D34B7A"/>
    <w:rsid w:val="11D922DB"/>
    <w:rsid w:val="11EB6CCC"/>
    <w:rsid w:val="123B4889"/>
    <w:rsid w:val="134A73F1"/>
    <w:rsid w:val="134C3C5E"/>
    <w:rsid w:val="134D48DB"/>
    <w:rsid w:val="137C17E6"/>
    <w:rsid w:val="13CD5833"/>
    <w:rsid w:val="13ED3173"/>
    <w:rsid w:val="147A1706"/>
    <w:rsid w:val="14A157A6"/>
    <w:rsid w:val="14C9239E"/>
    <w:rsid w:val="14CB030B"/>
    <w:rsid w:val="14D91EEA"/>
    <w:rsid w:val="15260C3D"/>
    <w:rsid w:val="15563BED"/>
    <w:rsid w:val="159E27B5"/>
    <w:rsid w:val="16BF33B2"/>
    <w:rsid w:val="16C92A2B"/>
    <w:rsid w:val="16DC07D1"/>
    <w:rsid w:val="16E64FD9"/>
    <w:rsid w:val="1800489D"/>
    <w:rsid w:val="185C6A19"/>
    <w:rsid w:val="186C7721"/>
    <w:rsid w:val="18B17731"/>
    <w:rsid w:val="18BC6DB2"/>
    <w:rsid w:val="194C3962"/>
    <w:rsid w:val="19540111"/>
    <w:rsid w:val="19770A53"/>
    <w:rsid w:val="19E93668"/>
    <w:rsid w:val="19EF0C3B"/>
    <w:rsid w:val="1A1753C9"/>
    <w:rsid w:val="1A3D44BB"/>
    <w:rsid w:val="1A436257"/>
    <w:rsid w:val="1A851936"/>
    <w:rsid w:val="1A8C199B"/>
    <w:rsid w:val="1AB25E42"/>
    <w:rsid w:val="1AB2603C"/>
    <w:rsid w:val="1AD062AA"/>
    <w:rsid w:val="1B0A5E8E"/>
    <w:rsid w:val="1B1E3852"/>
    <w:rsid w:val="1B512AE8"/>
    <w:rsid w:val="1B59664B"/>
    <w:rsid w:val="1B65022D"/>
    <w:rsid w:val="1B6B2C7A"/>
    <w:rsid w:val="1B7C3810"/>
    <w:rsid w:val="1BA30CDE"/>
    <w:rsid w:val="1BA5443B"/>
    <w:rsid w:val="1BEF5511"/>
    <w:rsid w:val="1CC354CD"/>
    <w:rsid w:val="1CC90054"/>
    <w:rsid w:val="1CC944BA"/>
    <w:rsid w:val="1D0C4D34"/>
    <w:rsid w:val="1D135CA3"/>
    <w:rsid w:val="1D2D4AD3"/>
    <w:rsid w:val="1D8C59C3"/>
    <w:rsid w:val="1D9E07FE"/>
    <w:rsid w:val="1D9E39D4"/>
    <w:rsid w:val="1DB77D56"/>
    <w:rsid w:val="1DD53590"/>
    <w:rsid w:val="1DEF0FB5"/>
    <w:rsid w:val="1E3D3E61"/>
    <w:rsid w:val="1E8924E8"/>
    <w:rsid w:val="1EDA2E44"/>
    <w:rsid w:val="1EE46874"/>
    <w:rsid w:val="1EE53079"/>
    <w:rsid w:val="1EF86E39"/>
    <w:rsid w:val="1F117178"/>
    <w:rsid w:val="1F2854CB"/>
    <w:rsid w:val="1F4F0CCF"/>
    <w:rsid w:val="1F603649"/>
    <w:rsid w:val="1F6D70D2"/>
    <w:rsid w:val="1F7D3437"/>
    <w:rsid w:val="1F8A1685"/>
    <w:rsid w:val="1FE1081E"/>
    <w:rsid w:val="207B1DB9"/>
    <w:rsid w:val="210D4256"/>
    <w:rsid w:val="213A59C0"/>
    <w:rsid w:val="21BF2026"/>
    <w:rsid w:val="21FD6F5B"/>
    <w:rsid w:val="227B6D8B"/>
    <w:rsid w:val="227E4B78"/>
    <w:rsid w:val="2329748A"/>
    <w:rsid w:val="235D122B"/>
    <w:rsid w:val="23D80CB3"/>
    <w:rsid w:val="23EE3F71"/>
    <w:rsid w:val="24091781"/>
    <w:rsid w:val="25A063C9"/>
    <w:rsid w:val="263F182B"/>
    <w:rsid w:val="266B6F00"/>
    <w:rsid w:val="26BA4AB4"/>
    <w:rsid w:val="26F765E3"/>
    <w:rsid w:val="27067E0D"/>
    <w:rsid w:val="272714F5"/>
    <w:rsid w:val="27F91274"/>
    <w:rsid w:val="280A355C"/>
    <w:rsid w:val="283021AE"/>
    <w:rsid w:val="28353D41"/>
    <w:rsid w:val="28373973"/>
    <w:rsid w:val="285B623F"/>
    <w:rsid w:val="28A0637C"/>
    <w:rsid w:val="28B2467D"/>
    <w:rsid w:val="28EA1A83"/>
    <w:rsid w:val="29571310"/>
    <w:rsid w:val="299738E4"/>
    <w:rsid w:val="2A327051"/>
    <w:rsid w:val="2A453501"/>
    <w:rsid w:val="2A7F5EA0"/>
    <w:rsid w:val="2A807DAA"/>
    <w:rsid w:val="2B2410E3"/>
    <w:rsid w:val="2B2640AC"/>
    <w:rsid w:val="2B924EA7"/>
    <w:rsid w:val="2BB05C4A"/>
    <w:rsid w:val="2BB37423"/>
    <w:rsid w:val="2BD457BB"/>
    <w:rsid w:val="2C071EE3"/>
    <w:rsid w:val="2C4A1EC8"/>
    <w:rsid w:val="2C584EF6"/>
    <w:rsid w:val="2C686104"/>
    <w:rsid w:val="2CCB5F74"/>
    <w:rsid w:val="2CDC5891"/>
    <w:rsid w:val="2CDE7638"/>
    <w:rsid w:val="2CFA5E96"/>
    <w:rsid w:val="2D051438"/>
    <w:rsid w:val="2D277620"/>
    <w:rsid w:val="2D313CEC"/>
    <w:rsid w:val="2D367FD1"/>
    <w:rsid w:val="2DD150B9"/>
    <w:rsid w:val="2DDB01FB"/>
    <w:rsid w:val="2DDC7347"/>
    <w:rsid w:val="2DDE6EF4"/>
    <w:rsid w:val="2E4506D2"/>
    <w:rsid w:val="2E89472A"/>
    <w:rsid w:val="2ED37F43"/>
    <w:rsid w:val="2F126A3F"/>
    <w:rsid w:val="2F3913B0"/>
    <w:rsid w:val="2F3A3FB5"/>
    <w:rsid w:val="2F3F5A11"/>
    <w:rsid w:val="2F445A5E"/>
    <w:rsid w:val="2F451596"/>
    <w:rsid w:val="2FB6150E"/>
    <w:rsid w:val="30081E06"/>
    <w:rsid w:val="30221D31"/>
    <w:rsid w:val="3062782A"/>
    <w:rsid w:val="30C831F1"/>
    <w:rsid w:val="31300E85"/>
    <w:rsid w:val="31DD6E0D"/>
    <w:rsid w:val="31E44E84"/>
    <w:rsid w:val="31F72DB4"/>
    <w:rsid w:val="3219319D"/>
    <w:rsid w:val="32997800"/>
    <w:rsid w:val="33497746"/>
    <w:rsid w:val="33B24E81"/>
    <w:rsid w:val="342856ED"/>
    <w:rsid w:val="342B54A3"/>
    <w:rsid w:val="35622F43"/>
    <w:rsid w:val="35881E96"/>
    <w:rsid w:val="359506D9"/>
    <w:rsid w:val="359A65E1"/>
    <w:rsid w:val="35E62030"/>
    <w:rsid w:val="361467CC"/>
    <w:rsid w:val="36211CB8"/>
    <w:rsid w:val="362B6271"/>
    <w:rsid w:val="36A770D0"/>
    <w:rsid w:val="36E906A0"/>
    <w:rsid w:val="36EA5CFC"/>
    <w:rsid w:val="37DA067B"/>
    <w:rsid w:val="37DB0CC3"/>
    <w:rsid w:val="37DF036E"/>
    <w:rsid w:val="37DF6920"/>
    <w:rsid w:val="381E4990"/>
    <w:rsid w:val="386F1546"/>
    <w:rsid w:val="38737D62"/>
    <w:rsid w:val="38FC4A57"/>
    <w:rsid w:val="392F5D6D"/>
    <w:rsid w:val="39692F30"/>
    <w:rsid w:val="396A7F05"/>
    <w:rsid w:val="39D253AD"/>
    <w:rsid w:val="39D66798"/>
    <w:rsid w:val="3A043838"/>
    <w:rsid w:val="3A311FDA"/>
    <w:rsid w:val="3A654F2C"/>
    <w:rsid w:val="3AB75619"/>
    <w:rsid w:val="3AF408E2"/>
    <w:rsid w:val="3AF94CB6"/>
    <w:rsid w:val="3B1B1F69"/>
    <w:rsid w:val="3B58072A"/>
    <w:rsid w:val="3BBB5653"/>
    <w:rsid w:val="3C184317"/>
    <w:rsid w:val="3C890C6F"/>
    <w:rsid w:val="3CAE011C"/>
    <w:rsid w:val="3CBC0243"/>
    <w:rsid w:val="3CD63221"/>
    <w:rsid w:val="3D213195"/>
    <w:rsid w:val="3DA953AE"/>
    <w:rsid w:val="3DDC5194"/>
    <w:rsid w:val="3DE072FF"/>
    <w:rsid w:val="3E2868CE"/>
    <w:rsid w:val="3E356281"/>
    <w:rsid w:val="3E3A6D49"/>
    <w:rsid w:val="3EC0651E"/>
    <w:rsid w:val="3ECB0CCC"/>
    <w:rsid w:val="3EED2935"/>
    <w:rsid w:val="3EF779E0"/>
    <w:rsid w:val="3F370343"/>
    <w:rsid w:val="3F7319A5"/>
    <w:rsid w:val="3FA64411"/>
    <w:rsid w:val="3FAF1BE2"/>
    <w:rsid w:val="3FC82D51"/>
    <w:rsid w:val="3FCF6F3D"/>
    <w:rsid w:val="40630939"/>
    <w:rsid w:val="40AE5C77"/>
    <w:rsid w:val="41542268"/>
    <w:rsid w:val="417B025E"/>
    <w:rsid w:val="41F0772F"/>
    <w:rsid w:val="41FE4E05"/>
    <w:rsid w:val="420B3984"/>
    <w:rsid w:val="425978F4"/>
    <w:rsid w:val="4260322C"/>
    <w:rsid w:val="4280133F"/>
    <w:rsid w:val="42C27EDD"/>
    <w:rsid w:val="431A7E31"/>
    <w:rsid w:val="43667921"/>
    <w:rsid w:val="43A60A22"/>
    <w:rsid w:val="43CA49CC"/>
    <w:rsid w:val="43E54AA3"/>
    <w:rsid w:val="43F24EFB"/>
    <w:rsid w:val="44147389"/>
    <w:rsid w:val="441925F7"/>
    <w:rsid w:val="4482464F"/>
    <w:rsid w:val="44A6225A"/>
    <w:rsid w:val="44B11558"/>
    <w:rsid w:val="44BB5170"/>
    <w:rsid w:val="44E157C8"/>
    <w:rsid w:val="44EB23B4"/>
    <w:rsid w:val="44F643C3"/>
    <w:rsid w:val="453E5C7C"/>
    <w:rsid w:val="454442AE"/>
    <w:rsid w:val="45782236"/>
    <w:rsid w:val="45EF70DE"/>
    <w:rsid w:val="46AF7A52"/>
    <w:rsid w:val="46B61D11"/>
    <w:rsid w:val="46C7203E"/>
    <w:rsid w:val="46E946A9"/>
    <w:rsid w:val="472B00CB"/>
    <w:rsid w:val="47AF6BBC"/>
    <w:rsid w:val="47CF1DA8"/>
    <w:rsid w:val="47D1257C"/>
    <w:rsid w:val="47E90C24"/>
    <w:rsid w:val="48487D32"/>
    <w:rsid w:val="48A33D95"/>
    <w:rsid w:val="48B47A6B"/>
    <w:rsid w:val="48C11A3E"/>
    <w:rsid w:val="48D12516"/>
    <w:rsid w:val="497705AB"/>
    <w:rsid w:val="49963B31"/>
    <w:rsid w:val="49BC0506"/>
    <w:rsid w:val="49C57BC4"/>
    <w:rsid w:val="49E536E9"/>
    <w:rsid w:val="4A0F3722"/>
    <w:rsid w:val="4A2647B6"/>
    <w:rsid w:val="4AAC6ADA"/>
    <w:rsid w:val="4B263E1B"/>
    <w:rsid w:val="4B3D1385"/>
    <w:rsid w:val="4B647182"/>
    <w:rsid w:val="4BD9431A"/>
    <w:rsid w:val="4BF9576F"/>
    <w:rsid w:val="4C36012F"/>
    <w:rsid w:val="4C39054C"/>
    <w:rsid w:val="4C677CB8"/>
    <w:rsid w:val="4CA12C49"/>
    <w:rsid w:val="4CA97031"/>
    <w:rsid w:val="4CD22D4A"/>
    <w:rsid w:val="4CD501DB"/>
    <w:rsid w:val="4D0A5042"/>
    <w:rsid w:val="4D3934EE"/>
    <w:rsid w:val="4D4C4D45"/>
    <w:rsid w:val="4DDE557E"/>
    <w:rsid w:val="4E5772E6"/>
    <w:rsid w:val="4EC16CC5"/>
    <w:rsid w:val="4F140721"/>
    <w:rsid w:val="4F3A2ADC"/>
    <w:rsid w:val="4F607317"/>
    <w:rsid w:val="4FCA7EFF"/>
    <w:rsid w:val="4FD13E9D"/>
    <w:rsid w:val="4FDF42DB"/>
    <w:rsid w:val="509F63F8"/>
    <w:rsid w:val="50BC4433"/>
    <w:rsid w:val="50DF5723"/>
    <w:rsid w:val="50E1292A"/>
    <w:rsid w:val="51225F6F"/>
    <w:rsid w:val="51610776"/>
    <w:rsid w:val="51B37BD5"/>
    <w:rsid w:val="51CC506B"/>
    <w:rsid w:val="51E11E2F"/>
    <w:rsid w:val="52665992"/>
    <w:rsid w:val="52D909D1"/>
    <w:rsid w:val="52F25B60"/>
    <w:rsid w:val="53ED5B96"/>
    <w:rsid w:val="54A73357"/>
    <w:rsid w:val="54F45C57"/>
    <w:rsid w:val="54F705E7"/>
    <w:rsid w:val="55001794"/>
    <w:rsid w:val="551762FA"/>
    <w:rsid w:val="551E1E02"/>
    <w:rsid w:val="55711E7F"/>
    <w:rsid w:val="55CA1613"/>
    <w:rsid w:val="55E34818"/>
    <w:rsid w:val="56967846"/>
    <w:rsid w:val="56B06BA3"/>
    <w:rsid w:val="56BB77B0"/>
    <w:rsid w:val="56D030A3"/>
    <w:rsid w:val="56F11C8C"/>
    <w:rsid w:val="56F3014D"/>
    <w:rsid w:val="570124D1"/>
    <w:rsid w:val="57027346"/>
    <w:rsid w:val="57097785"/>
    <w:rsid w:val="58057EE2"/>
    <w:rsid w:val="58611A73"/>
    <w:rsid w:val="58895E28"/>
    <w:rsid w:val="589F400C"/>
    <w:rsid w:val="58CA787F"/>
    <w:rsid w:val="58F32DEE"/>
    <w:rsid w:val="58F739B7"/>
    <w:rsid w:val="59020C47"/>
    <w:rsid w:val="594021A8"/>
    <w:rsid w:val="5941733E"/>
    <w:rsid w:val="59CE41E3"/>
    <w:rsid w:val="59DD4A8A"/>
    <w:rsid w:val="5A0F08D3"/>
    <w:rsid w:val="5B567227"/>
    <w:rsid w:val="5B6231FB"/>
    <w:rsid w:val="5B9D792F"/>
    <w:rsid w:val="5BA0232C"/>
    <w:rsid w:val="5BAB3DB2"/>
    <w:rsid w:val="5BF11436"/>
    <w:rsid w:val="5CBE34AE"/>
    <w:rsid w:val="5CC0098B"/>
    <w:rsid w:val="5CCC526F"/>
    <w:rsid w:val="5D1734A1"/>
    <w:rsid w:val="5E806C23"/>
    <w:rsid w:val="5E8A5DF4"/>
    <w:rsid w:val="5EB358F4"/>
    <w:rsid w:val="5ECA1F93"/>
    <w:rsid w:val="5F607AD0"/>
    <w:rsid w:val="6074694B"/>
    <w:rsid w:val="607A2473"/>
    <w:rsid w:val="60C779AD"/>
    <w:rsid w:val="612C1AEF"/>
    <w:rsid w:val="61603CC5"/>
    <w:rsid w:val="61777F36"/>
    <w:rsid w:val="61D9551B"/>
    <w:rsid w:val="61EF358A"/>
    <w:rsid w:val="624A25BC"/>
    <w:rsid w:val="62B02FEF"/>
    <w:rsid w:val="62CA37C4"/>
    <w:rsid w:val="62DB7FA7"/>
    <w:rsid w:val="633E47DB"/>
    <w:rsid w:val="6343590C"/>
    <w:rsid w:val="63A46087"/>
    <w:rsid w:val="63C24B28"/>
    <w:rsid w:val="63E10026"/>
    <w:rsid w:val="63E55FEC"/>
    <w:rsid w:val="63E81C9B"/>
    <w:rsid w:val="63EC566F"/>
    <w:rsid w:val="63F31C90"/>
    <w:rsid w:val="641320D9"/>
    <w:rsid w:val="641B60CD"/>
    <w:rsid w:val="64274EC3"/>
    <w:rsid w:val="64371D1E"/>
    <w:rsid w:val="643C1EA0"/>
    <w:rsid w:val="6496708B"/>
    <w:rsid w:val="64A625E2"/>
    <w:rsid w:val="64B021E6"/>
    <w:rsid w:val="64B94EA6"/>
    <w:rsid w:val="64C91D56"/>
    <w:rsid w:val="64E5419F"/>
    <w:rsid w:val="65715678"/>
    <w:rsid w:val="65BE7C3D"/>
    <w:rsid w:val="66202C59"/>
    <w:rsid w:val="66424A03"/>
    <w:rsid w:val="66885C6F"/>
    <w:rsid w:val="66C374A2"/>
    <w:rsid w:val="66C71A7B"/>
    <w:rsid w:val="66D63C1C"/>
    <w:rsid w:val="66F44C9D"/>
    <w:rsid w:val="67512131"/>
    <w:rsid w:val="67613D96"/>
    <w:rsid w:val="67BA7C67"/>
    <w:rsid w:val="67D2560C"/>
    <w:rsid w:val="68300E92"/>
    <w:rsid w:val="684E30C3"/>
    <w:rsid w:val="685A6EFB"/>
    <w:rsid w:val="6878428D"/>
    <w:rsid w:val="6897207A"/>
    <w:rsid w:val="68DC6544"/>
    <w:rsid w:val="690417D2"/>
    <w:rsid w:val="699E33F0"/>
    <w:rsid w:val="6A3114A9"/>
    <w:rsid w:val="6A736B6C"/>
    <w:rsid w:val="6A8A0EC0"/>
    <w:rsid w:val="6AA561FC"/>
    <w:rsid w:val="6AA83260"/>
    <w:rsid w:val="6AC76922"/>
    <w:rsid w:val="6B254F2A"/>
    <w:rsid w:val="6B4D6419"/>
    <w:rsid w:val="6B790557"/>
    <w:rsid w:val="6B901A32"/>
    <w:rsid w:val="6BC109C5"/>
    <w:rsid w:val="6BF76FD9"/>
    <w:rsid w:val="6C2659ED"/>
    <w:rsid w:val="6C705236"/>
    <w:rsid w:val="6D2228EE"/>
    <w:rsid w:val="6D3E59EF"/>
    <w:rsid w:val="6D5753E1"/>
    <w:rsid w:val="6D9779C2"/>
    <w:rsid w:val="6DAC4267"/>
    <w:rsid w:val="6E16036E"/>
    <w:rsid w:val="6E855717"/>
    <w:rsid w:val="6E88305A"/>
    <w:rsid w:val="6EEF2C4B"/>
    <w:rsid w:val="6F237AEB"/>
    <w:rsid w:val="6F441AFA"/>
    <w:rsid w:val="6F5C2E73"/>
    <w:rsid w:val="6F6A5EC0"/>
    <w:rsid w:val="6F837164"/>
    <w:rsid w:val="6FD33550"/>
    <w:rsid w:val="6FFC2467"/>
    <w:rsid w:val="708C2547"/>
    <w:rsid w:val="70984781"/>
    <w:rsid w:val="70BD5843"/>
    <w:rsid w:val="70C06C50"/>
    <w:rsid w:val="70F660B4"/>
    <w:rsid w:val="70F95817"/>
    <w:rsid w:val="71614EE1"/>
    <w:rsid w:val="71677886"/>
    <w:rsid w:val="71985FFB"/>
    <w:rsid w:val="71C1495C"/>
    <w:rsid w:val="7213138D"/>
    <w:rsid w:val="723152AF"/>
    <w:rsid w:val="72441A77"/>
    <w:rsid w:val="72705BD7"/>
    <w:rsid w:val="72CB07BE"/>
    <w:rsid w:val="72F13EB5"/>
    <w:rsid w:val="735B0DDA"/>
    <w:rsid w:val="73BB11E4"/>
    <w:rsid w:val="73F7161A"/>
    <w:rsid w:val="74392B3C"/>
    <w:rsid w:val="7455009E"/>
    <w:rsid w:val="745E7173"/>
    <w:rsid w:val="74950FF8"/>
    <w:rsid w:val="74A14D61"/>
    <w:rsid w:val="74A1608B"/>
    <w:rsid w:val="74A3333A"/>
    <w:rsid w:val="74C9056F"/>
    <w:rsid w:val="7521669F"/>
    <w:rsid w:val="757D0801"/>
    <w:rsid w:val="75907AE4"/>
    <w:rsid w:val="75964DC4"/>
    <w:rsid w:val="75AD6771"/>
    <w:rsid w:val="765A36CB"/>
    <w:rsid w:val="7730785F"/>
    <w:rsid w:val="778D4BA3"/>
    <w:rsid w:val="77CA4C00"/>
    <w:rsid w:val="7820756D"/>
    <w:rsid w:val="78665B1F"/>
    <w:rsid w:val="78A362AA"/>
    <w:rsid w:val="78E759B1"/>
    <w:rsid w:val="78F84807"/>
    <w:rsid w:val="793B3005"/>
    <w:rsid w:val="79710BE9"/>
    <w:rsid w:val="798B04B8"/>
    <w:rsid w:val="79A4109A"/>
    <w:rsid w:val="79A73899"/>
    <w:rsid w:val="79BC32BE"/>
    <w:rsid w:val="79EB067E"/>
    <w:rsid w:val="7B3305BF"/>
    <w:rsid w:val="7B4D52E0"/>
    <w:rsid w:val="7B6F2935"/>
    <w:rsid w:val="7BA6434C"/>
    <w:rsid w:val="7BBF6710"/>
    <w:rsid w:val="7C040EED"/>
    <w:rsid w:val="7C256F88"/>
    <w:rsid w:val="7C515941"/>
    <w:rsid w:val="7C58163D"/>
    <w:rsid w:val="7CC01AD5"/>
    <w:rsid w:val="7CE40C37"/>
    <w:rsid w:val="7D352904"/>
    <w:rsid w:val="7D3C0FDE"/>
    <w:rsid w:val="7D8F0E10"/>
    <w:rsid w:val="7D997BEE"/>
    <w:rsid w:val="7E5951D1"/>
    <w:rsid w:val="7E643DD8"/>
    <w:rsid w:val="7E772AF8"/>
    <w:rsid w:val="7ECB3D59"/>
    <w:rsid w:val="7F0F0AE7"/>
    <w:rsid w:val="7F647D58"/>
    <w:rsid w:val="7F8B0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Calibri" w:hAnsi="Calibri" w:eastAsia="宋体" w:cs="黑体"/>
      <w:sz w:val="21"/>
      <w:szCs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公1"/>
    <w:qFormat/>
    <w:uiPriority w:val="0"/>
    <w:pPr>
      <w:widowControl w:val="0"/>
      <w:ind w:firstLine="200" w:firstLineChars="200"/>
      <w:jc w:val="both"/>
    </w:pPr>
    <w:rPr>
      <w:rFonts w:ascii="Times New Roman" w:hAnsi="Times New Roman" w:eastAsia="宋体" w:cs="Calibri"/>
      <w:color w:val="000000"/>
      <w:kern w:val="2"/>
      <w:sz w:val="32"/>
      <w:szCs w:val="32"/>
      <w:lang w:val="en-US" w:eastAsia="zh-CN" w:bidi="ar-SA"/>
    </w:rPr>
  </w:style>
  <w:style w:type="paragraph" w:styleId="3">
    <w:name w:val="Body Text"/>
    <w:basedOn w:val="1"/>
    <w:link w:val="21"/>
    <w:qFormat/>
    <w:uiPriority w:val="0"/>
    <w:pPr>
      <w:spacing w:line="360" w:lineRule="auto"/>
    </w:pPr>
    <w:rPr>
      <w:rFonts w:eastAsia="华文中宋"/>
      <w:sz w:val="36"/>
    </w:rPr>
  </w:style>
  <w:style w:type="paragraph" w:styleId="4">
    <w:name w:val="Body Text Indent"/>
    <w:basedOn w:val="1"/>
    <w:qFormat/>
    <w:uiPriority w:val="0"/>
    <w:pPr>
      <w:spacing w:after="120"/>
      <w:ind w:left="420" w:leftChars="200"/>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7">
    <w:name w:val="header"/>
    <w:basedOn w:val="1"/>
    <w:link w:val="23"/>
    <w:qFormat/>
    <w:uiPriority w:val="99"/>
    <w:pPr>
      <w:pBdr>
        <w:bottom w:val="single" w:color="000000" w:sz="6" w:space="1"/>
      </w:pBdr>
      <w:tabs>
        <w:tab w:val="center" w:pos="4153"/>
        <w:tab w:val="right" w:pos="8306"/>
      </w:tabs>
      <w:snapToGrid w:val="0"/>
      <w:jc w:val="center"/>
    </w:pPr>
    <w:rPr>
      <w:rFonts w:ascii="Times New Roman" w:hAnsi="Times New Roman" w:cs="Times New Roman"/>
      <w:sz w:val="18"/>
      <w:szCs w:val="18"/>
    </w:rPr>
  </w:style>
  <w:style w:type="paragraph" w:styleId="8">
    <w:name w:val="toc 1"/>
    <w:basedOn w:val="1"/>
    <w:next w:val="1"/>
    <w:qFormat/>
    <w:uiPriority w:val="0"/>
  </w:style>
  <w:style w:type="paragraph" w:styleId="9">
    <w:name w:val="Title"/>
    <w:basedOn w:val="1"/>
    <w:next w:val="1"/>
    <w:qFormat/>
    <w:uiPriority w:val="6"/>
    <w:pPr>
      <w:spacing w:before="240" w:after="60"/>
      <w:jc w:val="center"/>
      <w:outlineLvl w:val="0"/>
    </w:pPr>
    <w:rPr>
      <w:rFonts w:asciiTheme="majorHAnsi" w:hAnsiTheme="majorHAnsi" w:cstheme="minorBidi"/>
      <w:b/>
      <w:sz w:val="32"/>
      <w:szCs w:val="32"/>
    </w:rPr>
  </w:style>
  <w:style w:type="paragraph" w:styleId="10">
    <w:name w:val="Body Text First Indent 2"/>
    <w:basedOn w:val="4"/>
    <w:qFormat/>
    <w:uiPriority w:val="0"/>
    <w:pPr>
      <w:ind w:firstLine="420"/>
    </w:pPr>
  </w:style>
  <w:style w:type="table" w:styleId="12">
    <w:name w:val="Table Grid"/>
    <w:basedOn w:val="11"/>
    <w:qFormat/>
    <w:uiPriority w:val="37"/>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Hyperlink"/>
    <w:basedOn w:val="13"/>
    <w:qFormat/>
    <w:uiPriority w:val="0"/>
    <w:rPr>
      <w:color w:val="0563C1" w:themeColor="hyperlink"/>
      <w:u w:val="single"/>
    </w:rPr>
  </w:style>
  <w:style w:type="paragraph" w:customStyle="1" w:styleId="15">
    <w:name w:val="Default"/>
    <w:qFormat/>
    <w:uiPriority w:val="0"/>
    <w:pPr>
      <w:autoSpaceDE w:val="0"/>
      <w:autoSpaceDN w:val="0"/>
    </w:pPr>
    <w:rPr>
      <w:rFonts w:ascii="宋体" w:hAnsi="宋体" w:eastAsia="宋体" w:cs="Times New Roman"/>
      <w:color w:val="000000"/>
      <w:sz w:val="24"/>
      <w:szCs w:val="24"/>
      <w:lang w:val="en-US" w:eastAsia="zh-CN" w:bidi="ar-SA"/>
    </w:rPr>
  </w:style>
  <w:style w:type="character" w:customStyle="1" w:styleId="16">
    <w:name w:val="NormalCharacter"/>
    <w:link w:val="17"/>
    <w:qFormat/>
    <w:uiPriority w:val="0"/>
  </w:style>
  <w:style w:type="paragraph" w:customStyle="1" w:styleId="17">
    <w:name w:val="UserStyle_0"/>
    <w:basedOn w:val="1"/>
    <w:link w:val="16"/>
    <w:qFormat/>
    <w:uiPriority w:val="0"/>
    <w:pPr>
      <w:textAlignment w:val="baseline"/>
    </w:pPr>
  </w:style>
  <w:style w:type="character" w:customStyle="1" w:styleId="18">
    <w:name w:val="批注框文本 Char"/>
    <w:basedOn w:val="13"/>
    <w:link w:val="5"/>
    <w:qFormat/>
    <w:uiPriority w:val="0"/>
    <w:rPr>
      <w:rFonts w:cs="黑体"/>
      <w:sz w:val="18"/>
      <w:szCs w:val="18"/>
    </w:r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1">
    <w:name w:val="正文文本 Char"/>
    <w:basedOn w:val="13"/>
    <w:link w:val="3"/>
    <w:qFormat/>
    <w:uiPriority w:val="0"/>
    <w:rPr>
      <w:rFonts w:ascii="Calibri" w:hAnsi="Calibri" w:eastAsia="华文中宋" w:cs="黑体"/>
      <w:sz w:val="36"/>
      <w:szCs w:val="21"/>
    </w:rPr>
  </w:style>
  <w:style w:type="paragraph" w:customStyle="1" w:styleId="22">
    <w:name w:val="海南化工城正文"/>
    <w:basedOn w:val="1"/>
    <w:qFormat/>
    <w:uiPriority w:val="0"/>
    <w:pPr>
      <w:spacing w:line="324" w:lineRule="auto"/>
      <w:ind w:firstLine="480" w:firstLineChars="200"/>
    </w:pPr>
    <w:rPr>
      <w:rFonts w:ascii="宋体" w:hAnsi="宋体" w:cs="宋体"/>
      <w:sz w:val="24"/>
      <w:szCs w:val="20"/>
    </w:rPr>
  </w:style>
  <w:style w:type="character" w:customStyle="1" w:styleId="23">
    <w:name w:val="页眉 Char"/>
    <w:basedOn w:val="13"/>
    <w:link w:val="7"/>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106</Pages>
  <Words>8731</Words>
  <Characters>49769</Characters>
  <Lines>414</Lines>
  <Paragraphs>116</Paragraphs>
  <TotalTime>33</TotalTime>
  <ScaleCrop>false</ScaleCrop>
  <LinksUpToDate>false</LinksUpToDate>
  <CharactersWithSpaces>58384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2020-12-03T21:18:00Z</dcterms:created>
  <dc:creator>lenovo</dc:creator>
  <cp:lastModifiedBy>uos</cp:lastModifiedBy>
  <cp:lastPrinted>2021-03-19T11:54:00Z</cp:lastPrinted>
  <dcterms:modified xsi:type="dcterms:W3CDTF">2021-10-14T15:25:01Z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AA8808D2BE3040EC808FA534A6327AA1</vt:lpwstr>
  </property>
</Properties>
</file>