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Lines="0" w:afterLines="0" w:line="640" w:lineRule="exact"/>
        <w:jc w:val="center"/>
        <w:rPr>
          <w:rFonts w:ascii="Times New Roman" w:hAnsi="Times New Roman" w:eastAsia="方正小标宋简体" w:cs="Times New Roman"/>
          <w:sz w:val="44"/>
          <w:szCs w:val="44"/>
        </w:rPr>
      </w:pPr>
    </w:p>
    <w:p>
      <w:pPr>
        <w:widowControl/>
        <w:spacing w:beforeLines="0" w:afterLines="0"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东方市</w:t>
      </w:r>
      <w:r>
        <w:rPr>
          <w:rFonts w:hint="eastAsia" w:ascii="Times New Roman" w:hAnsi="Times New Roman" w:eastAsia="方正小标宋简体" w:cs="Times New Roman"/>
          <w:sz w:val="44"/>
          <w:szCs w:val="44"/>
        </w:rPr>
        <w:t>国民经济和社会发展第十四个五</w:t>
      </w:r>
      <w:r>
        <w:rPr>
          <w:rFonts w:hint="eastAsia" w:ascii="Times New Roman" w:hAnsi="Times New Roman" w:eastAsia="方正小标宋简体" w:cs="Times New Roman"/>
          <w:sz w:val="44"/>
          <w:szCs w:val="44"/>
          <w:lang w:eastAsia="zh-CN"/>
        </w:rPr>
        <w:t>年</w:t>
      </w:r>
      <w:r>
        <w:rPr>
          <w:rFonts w:hint="eastAsia" w:ascii="Times New Roman" w:hAnsi="Times New Roman" w:eastAsia="方正小标宋简体" w:cs="Times New Roman"/>
          <w:sz w:val="44"/>
          <w:szCs w:val="44"/>
        </w:rPr>
        <w:t>规划和二○三五年远景目标纲要</w:t>
      </w:r>
    </w:p>
    <w:p>
      <w:pPr>
        <w:widowControl/>
        <w:jc w:val="center"/>
        <w:rPr>
          <w:rFonts w:ascii="Times New Roman" w:hAnsi="Times New Roman" w:eastAsia="楷体_GB2312" w:cs="Times New Roman"/>
          <w:b/>
          <w:sz w:val="32"/>
          <w:szCs w:val="32"/>
        </w:rPr>
      </w:pPr>
    </w:p>
    <w:p>
      <w:pPr>
        <w:autoSpaceDE w:val="0"/>
        <w:autoSpaceDN w:val="0"/>
        <w:adjustRightInd w:val="0"/>
        <w:snapToGrid w:val="0"/>
        <w:spacing w:line="600" w:lineRule="exact"/>
        <w:jc w:val="cente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楷体" w:hAnsi="楷体" w:eastAsia="楷体" w:cs="楷体"/>
          <w:sz w:val="32"/>
          <w:szCs w:val="32"/>
          <w:lang w:eastAsia="zh-CN"/>
        </w:rPr>
        <w:t>（东方市第十五届人民代表大会第九次会议审议通过）</w:t>
      </w:r>
    </w:p>
    <w:p>
      <w:pPr>
        <w:pStyle w:val="2"/>
        <w:ind w:left="0" w:leftChars="0" w:firstLine="0" w:firstLineChars="0"/>
        <w:rPr>
          <w:rFonts w:hint="eastAsia" w:eastAsia="宋体"/>
          <w:lang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目  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Times New Roman" w:hAnsi="Times New Roman" w:eastAsia="黑体" w:cs="Times New Roman"/>
          <w:kern w:val="0"/>
          <w:sz w:val="36"/>
          <w:szCs w:val="36"/>
        </w:rPr>
      </w:pP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仿宋_GB2312" w:cs="Times New Roman"/>
          <w:kern w:val="0"/>
          <w:sz w:val="48"/>
          <w:szCs w:val="48"/>
        </w:rPr>
        <w:fldChar w:fldCharType="begin"/>
      </w:r>
      <w:r>
        <w:rPr>
          <w:rFonts w:ascii="Times New Roman" w:hAnsi="Times New Roman" w:eastAsia="仿宋_GB2312" w:cs="Times New Roman"/>
          <w:kern w:val="0"/>
          <w:sz w:val="48"/>
          <w:szCs w:val="48"/>
        </w:rPr>
        <w:instrText xml:space="preserve"> TOC \o "1-2" \u </w:instrText>
      </w:r>
      <w:r>
        <w:rPr>
          <w:rFonts w:ascii="Times New Roman" w:hAnsi="Times New Roman" w:eastAsia="仿宋_GB2312" w:cs="Times New Roman"/>
          <w:kern w:val="0"/>
          <w:sz w:val="48"/>
          <w:szCs w:val="48"/>
        </w:rPr>
        <w:fldChar w:fldCharType="separate"/>
      </w:r>
      <w:r>
        <w:rPr>
          <w:rFonts w:ascii="Times New Roman" w:hAnsi="Times New Roman" w:eastAsia="黑体" w:cs="Times New Roman"/>
          <w:sz w:val="32"/>
          <w:szCs w:val="32"/>
        </w:rPr>
        <w:t>第一章  全面建成小康社会，奋力推进自由贸易港建设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_Toc61275558 \h </w:instrText>
      </w:r>
      <w:r>
        <w:rPr>
          <w:rFonts w:ascii="Times New Roman" w:hAnsi="Times New Roman" w:cs="Times New Roman"/>
          <w:sz w:val="32"/>
          <w:szCs w:val="32"/>
        </w:rPr>
        <w:fldChar w:fldCharType="separate"/>
      </w:r>
      <w:r>
        <w:rPr>
          <w:rFonts w:ascii="Times New Roman" w:hAnsi="Times New Roman" w:cs="Times New Roman"/>
          <w:sz w:val="32"/>
          <w:szCs w:val="32"/>
        </w:rPr>
        <w:t>2</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决胜全面建成小康社会取得决定性成就</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_Toc61275559 \h </w:instrText>
      </w:r>
      <w:r>
        <w:rPr>
          <w:rFonts w:ascii="Times New Roman" w:hAnsi="Times New Roman" w:cs="Times New Roman"/>
          <w:sz w:val="32"/>
          <w:szCs w:val="32"/>
        </w:rPr>
        <w:fldChar w:fldCharType="separate"/>
      </w:r>
      <w:r>
        <w:rPr>
          <w:rFonts w:ascii="Times New Roman" w:hAnsi="Times New Roman" w:cs="Times New Roman"/>
          <w:sz w:val="32"/>
          <w:szCs w:val="32"/>
        </w:rPr>
        <w:t>2</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新发展阶段面临的新机遇新挑战</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_Toc61275560 \h </w:instrText>
      </w:r>
      <w:r>
        <w:rPr>
          <w:rFonts w:ascii="Times New Roman" w:hAnsi="Times New Roman" w:cs="Times New Roman"/>
          <w:sz w:val="32"/>
          <w:szCs w:val="32"/>
        </w:rPr>
        <w:fldChar w:fldCharType="separate"/>
      </w:r>
      <w:r>
        <w:rPr>
          <w:rFonts w:ascii="Times New Roman" w:hAnsi="Times New Roman" w:cs="Times New Roman"/>
          <w:sz w:val="32"/>
          <w:szCs w:val="32"/>
        </w:rPr>
        <w:t>5</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二〇三五年远景目标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_Toc61275561 \h </w:instrText>
      </w:r>
      <w:r>
        <w:rPr>
          <w:rFonts w:ascii="Times New Roman" w:hAnsi="Times New Roman" w:cs="Times New Roman"/>
          <w:sz w:val="32"/>
          <w:szCs w:val="32"/>
        </w:rPr>
        <w:fldChar w:fldCharType="separate"/>
      </w:r>
      <w:r>
        <w:rPr>
          <w:rFonts w:ascii="Times New Roman" w:hAnsi="Times New Roman" w:cs="Times New Roman"/>
          <w:sz w:val="32"/>
          <w:szCs w:val="32"/>
        </w:rPr>
        <w:t>6</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hint="eastAsia" w:ascii="Times New Roman" w:hAnsi="Times New Roman" w:cs="Times New Roman"/>
          <w:sz w:val="32"/>
          <w:szCs w:val="32"/>
        </w:rPr>
      </w:pPr>
      <w:r>
        <w:rPr>
          <w:rFonts w:ascii="Times New Roman" w:hAnsi="Times New Roman" w:eastAsia="黑体" w:cs="Times New Roman"/>
          <w:bCs/>
          <w:kern w:val="44"/>
          <w:sz w:val="32"/>
          <w:szCs w:val="32"/>
        </w:rPr>
        <w:t>第二章  “十四五”时期经济社会发展指导方针和主要目标</w:t>
      </w:r>
      <w:r>
        <w:rPr>
          <w:rFonts w:hint="eastAsia" w:ascii="Times New Roman" w:hAnsi="Times New Roman" w:cs="Times New Roman"/>
          <w:sz w:val="32"/>
          <w:szCs w:val="32"/>
        </w:rPr>
        <w:tab/>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Times New Roman" w:hAnsi="Times New Roman" w:cs="Times New Roman"/>
          <w:sz w:val="32"/>
          <w:szCs w:val="32"/>
        </w:rPr>
        <w:tab/>
      </w:r>
      <w:bookmarkStart w:id="74" w:name="_GoBack"/>
      <w:bookmarkEnd w:id="74"/>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_Toc61275562 \h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“十四五”时期经济社会发展指导思想</w:t>
      </w:r>
      <w:r>
        <w:rPr>
          <w:rFonts w:hint="eastAsia" w:ascii="Times New Roman" w:hAnsi="Times New Roman" w:eastAsia="楷体_GB2312"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_Toc61275563 \h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“十四五”时期经济社会发展必须遵循的原则</w:t>
      </w:r>
      <w:r>
        <w:rPr>
          <w:rFonts w:hint="eastAsia" w:ascii="仿宋_GB2312" w:hAnsi="仿宋_GB2312" w:eastAsia="仿宋_GB2312" w:cs="仿宋_GB2312"/>
          <w:sz w:val="32"/>
          <w:szCs w:val="32"/>
          <w:lang w:val="en-US" w:eastAsia="zh-CN"/>
        </w:rPr>
        <w:t xml:space="preserve"> </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_Toc61275564 \h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“十四五”时期经济社会发展主要目标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_Toc61275565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第三章  推进自由贸易港早期政策落地见效，打造海南自贸港建设先行区</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_Toc61275566 \h </w:instrText>
      </w:r>
      <w:r>
        <w:rPr>
          <w:rFonts w:ascii="Times New Roman" w:hAnsi="Times New Roman" w:cs="Times New Roman"/>
          <w:sz w:val="32"/>
          <w:szCs w:val="32"/>
        </w:rPr>
        <w:fldChar w:fldCharType="separate"/>
      </w:r>
      <w:r>
        <w:rPr>
          <w:rFonts w:ascii="Times New Roman" w:hAnsi="Times New Roman" w:cs="Times New Roman"/>
          <w:sz w:val="32"/>
          <w:szCs w:val="32"/>
        </w:rPr>
        <w:t>14</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积极推进自贸港政策早日落地</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_Toc61275567 \h </w:instrText>
      </w:r>
      <w:r>
        <w:rPr>
          <w:rFonts w:ascii="Times New Roman" w:hAnsi="Times New Roman" w:cs="Times New Roman"/>
          <w:sz w:val="32"/>
          <w:szCs w:val="32"/>
        </w:rPr>
        <w:fldChar w:fldCharType="separate"/>
      </w:r>
      <w:r>
        <w:rPr>
          <w:rFonts w:ascii="Times New Roman" w:hAnsi="Times New Roman" w:cs="Times New Roman"/>
          <w:sz w:val="32"/>
          <w:szCs w:val="32"/>
        </w:rPr>
        <w:t>14</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推进临港产业园创新发展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_Toc61275568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打造一流营商环境</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_Toc61275569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持续深化重点领域改革</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_Toc61275570 \h </w:instrText>
      </w:r>
      <w:r>
        <w:rPr>
          <w:rFonts w:ascii="Times New Roman" w:hAnsi="Times New Roman" w:cs="Times New Roman"/>
          <w:sz w:val="32"/>
          <w:szCs w:val="32"/>
        </w:rPr>
        <w:fldChar w:fldCharType="separate"/>
      </w:r>
      <w:r>
        <w:rPr>
          <w:rFonts w:ascii="Times New Roman" w:hAnsi="Times New Roman" w:cs="Times New Roman"/>
          <w:sz w:val="32"/>
          <w:szCs w:val="32"/>
        </w:rPr>
        <w:t>19</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第四章  加快农业农村现代化，建设国家农业绿色发展先行区</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_Toc61275571 \h </w:instrText>
      </w:r>
      <w:r>
        <w:rPr>
          <w:rFonts w:ascii="Times New Roman" w:hAnsi="Times New Roman" w:cs="Times New Roman"/>
          <w:sz w:val="32"/>
          <w:szCs w:val="32"/>
        </w:rPr>
        <w:fldChar w:fldCharType="separate"/>
      </w:r>
      <w:r>
        <w:rPr>
          <w:rFonts w:ascii="Times New Roman" w:hAnsi="Times New Roman" w:cs="Times New Roman"/>
          <w:sz w:val="32"/>
          <w:szCs w:val="32"/>
        </w:rPr>
        <w:t>21</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做优做强热带特色高效农业</w:t>
      </w:r>
      <w:r>
        <w:rPr>
          <w:rFonts w:hint="eastAsia" w:ascii="Times New Roman" w:hAnsi="Times New Roman" w:eastAsia="楷体_GB2312"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_Toc61275572 \h </w:instrText>
      </w:r>
      <w:r>
        <w:rPr>
          <w:rFonts w:ascii="Times New Roman" w:hAnsi="Times New Roman" w:cs="Times New Roman"/>
          <w:sz w:val="32"/>
          <w:szCs w:val="32"/>
        </w:rPr>
        <w:fldChar w:fldCharType="separate"/>
      </w:r>
      <w:r>
        <w:rPr>
          <w:rFonts w:ascii="Times New Roman" w:hAnsi="Times New Roman" w:cs="Times New Roman"/>
          <w:sz w:val="32"/>
          <w:szCs w:val="32"/>
        </w:rPr>
        <w:t>21</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推动农业绿色发展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_Toc61275573 \h </w:instrText>
      </w:r>
      <w:r>
        <w:rPr>
          <w:rFonts w:ascii="Times New Roman" w:hAnsi="Times New Roman" w:cs="Times New Roman"/>
          <w:sz w:val="32"/>
          <w:szCs w:val="32"/>
        </w:rPr>
        <w:fldChar w:fldCharType="separate"/>
      </w:r>
      <w:r>
        <w:rPr>
          <w:rFonts w:ascii="Times New Roman" w:hAnsi="Times New Roman" w:cs="Times New Roman"/>
          <w:sz w:val="32"/>
          <w:szCs w:val="32"/>
        </w:rPr>
        <w:t>24</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hint="eastAsia" w:ascii="仿宋_GB2312" w:hAnsi="仿宋_GB2312" w:eastAsia="仿宋_GB2312" w:cs="仿宋_GB2312"/>
          <w:sz w:val="32"/>
          <w:szCs w:val="32"/>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深化农村改革</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_Toc61275574 \h </w:instrText>
      </w:r>
      <w:r>
        <w:rPr>
          <w:rFonts w:ascii="Times New Roman" w:hAnsi="Times New Roman" w:cs="Times New Roman"/>
          <w:sz w:val="32"/>
          <w:szCs w:val="32"/>
        </w:rPr>
        <w:fldChar w:fldCharType="separate"/>
      </w:r>
      <w:r>
        <w:rPr>
          <w:rFonts w:ascii="Times New Roman" w:hAnsi="Times New Roman" w:cs="Times New Roman"/>
          <w:sz w:val="32"/>
          <w:szCs w:val="32"/>
        </w:rPr>
        <w:t>26</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实施乡村建设行动</w:t>
      </w:r>
      <w:r>
        <w:rPr>
          <w:rFonts w:hint="eastAsia"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_Toc61275575 \h </w:instrText>
      </w:r>
      <w:r>
        <w:rPr>
          <w:rFonts w:ascii="Times New Roman" w:hAnsi="Times New Roman" w:cs="Times New Roman"/>
          <w:sz w:val="32"/>
          <w:szCs w:val="32"/>
        </w:rPr>
        <w:fldChar w:fldCharType="separate"/>
      </w:r>
      <w:r>
        <w:rPr>
          <w:rFonts w:ascii="Times New Roman" w:hAnsi="Times New Roman" w:cs="Times New Roman"/>
          <w:sz w:val="32"/>
          <w:szCs w:val="32"/>
        </w:rPr>
        <w:t>27</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第五节  加强乡村治理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_Toc61275576 \h </w:instrText>
      </w:r>
      <w:r>
        <w:rPr>
          <w:rFonts w:ascii="Times New Roman" w:hAnsi="Times New Roman" w:cs="Times New Roman"/>
          <w:sz w:val="32"/>
          <w:szCs w:val="32"/>
        </w:rPr>
        <w:fldChar w:fldCharType="separate"/>
      </w:r>
      <w:r>
        <w:rPr>
          <w:rFonts w:ascii="Times New Roman" w:hAnsi="Times New Roman" w:cs="Times New Roman"/>
          <w:sz w:val="32"/>
          <w:szCs w:val="32"/>
        </w:rPr>
        <w:t>28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第六节  实现巩固拓展脱贫攻坚成果同乡村振兴有效衔接</w:t>
      </w:r>
      <w:r>
        <w:rPr>
          <w:rFonts w:hint="eastAsia"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_Toc61275577 \h </w:instrText>
      </w:r>
      <w:r>
        <w:rPr>
          <w:rFonts w:ascii="Times New Roman" w:hAnsi="Times New Roman" w:cs="Times New Roman"/>
          <w:sz w:val="32"/>
          <w:szCs w:val="32"/>
        </w:rPr>
        <w:fldChar w:fldCharType="separate"/>
      </w:r>
      <w:r>
        <w:rPr>
          <w:rFonts w:ascii="Times New Roman" w:hAnsi="Times New Roman" w:cs="Times New Roman"/>
          <w:sz w:val="32"/>
          <w:szCs w:val="32"/>
        </w:rPr>
        <w:t>29</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sz w:val="32"/>
          <w:szCs w:val="32"/>
        </w:rPr>
        <w:t>第五章  实施空海“双港”驱动，构建西部陆海新通道重要节点</w:t>
      </w:r>
      <w:r>
        <w:rPr>
          <w:rFonts w:hint="eastAsia"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_Toc61275578 \h </w:instrText>
      </w:r>
      <w:r>
        <w:rPr>
          <w:rFonts w:ascii="Times New Roman" w:hAnsi="Times New Roman" w:cs="Times New Roman"/>
          <w:sz w:val="32"/>
          <w:szCs w:val="32"/>
        </w:rPr>
        <w:fldChar w:fldCharType="separate"/>
      </w:r>
      <w:r>
        <w:rPr>
          <w:rFonts w:ascii="Times New Roman" w:hAnsi="Times New Roman" w:cs="Times New Roman"/>
          <w:sz w:val="32"/>
          <w:szCs w:val="32"/>
        </w:rPr>
        <w:t>31</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推动航空物流国际枢纽机场建设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_Toc61275579 \h </w:instrText>
      </w:r>
      <w:r>
        <w:rPr>
          <w:rFonts w:ascii="Times New Roman" w:hAnsi="Times New Roman" w:cs="Times New Roman"/>
          <w:sz w:val="32"/>
          <w:szCs w:val="32"/>
        </w:rPr>
        <w:fldChar w:fldCharType="separate"/>
      </w:r>
      <w:r>
        <w:rPr>
          <w:rFonts w:ascii="Times New Roman" w:hAnsi="Times New Roman" w:cs="Times New Roman"/>
          <w:sz w:val="32"/>
          <w:szCs w:val="32"/>
        </w:rPr>
        <w:t>31</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支持八所港口转型升级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_Toc61275580 \h </w:instrText>
      </w:r>
      <w:r>
        <w:rPr>
          <w:rFonts w:ascii="Times New Roman" w:hAnsi="Times New Roman" w:cs="Times New Roman"/>
          <w:sz w:val="32"/>
          <w:szCs w:val="32"/>
        </w:rPr>
        <w:fldChar w:fldCharType="separate"/>
      </w:r>
      <w:r>
        <w:rPr>
          <w:rFonts w:ascii="Times New Roman" w:hAnsi="Times New Roman" w:cs="Times New Roman"/>
          <w:sz w:val="32"/>
          <w:szCs w:val="32"/>
        </w:rPr>
        <w:t>33</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做大做强新通道和口岸经济</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_Toc61275581 \h </w:instrText>
      </w:r>
      <w:r>
        <w:rPr>
          <w:rFonts w:ascii="Times New Roman" w:hAnsi="Times New Roman" w:cs="Times New Roman"/>
          <w:sz w:val="32"/>
          <w:szCs w:val="32"/>
        </w:rPr>
        <w:fldChar w:fldCharType="separate"/>
      </w:r>
      <w:r>
        <w:rPr>
          <w:rFonts w:ascii="Times New Roman" w:hAnsi="Times New Roman" w:cs="Times New Roman"/>
          <w:sz w:val="32"/>
          <w:szCs w:val="32"/>
        </w:rPr>
        <w:t>35</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第六章  积极推动高质量发展，建设现代化经济体系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_Toc61275582 \h </w:instrText>
      </w:r>
      <w:r>
        <w:rPr>
          <w:rFonts w:ascii="Times New Roman" w:hAnsi="Times New Roman" w:cs="Times New Roman"/>
          <w:sz w:val="32"/>
          <w:szCs w:val="32"/>
        </w:rPr>
        <w:fldChar w:fldCharType="separate"/>
      </w:r>
      <w:r>
        <w:rPr>
          <w:rFonts w:ascii="Times New Roman" w:hAnsi="Times New Roman" w:cs="Times New Roman"/>
          <w:sz w:val="32"/>
          <w:szCs w:val="32"/>
        </w:rPr>
        <w:t>38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持续推动扩大内需和有效投资</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_Toc61275583 \h </w:instrText>
      </w:r>
      <w:r>
        <w:rPr>
          <w:rFonts w:ascii="Times New Roman" w:hAnsi="Times New Roman" w:cs="Times New Roman"/>
          <w:sz w:val="32"/>
          <w:szCs w:val="32"/>
        </w:rPr>
        <w:fldChar w:fldCharType="separate"/>
      </w:r>
      <w:r>
        <w:rPr>
          <w:rFonts w:ascii="Times New Roman" w:hAnsi="Times New Roman" w:cs="Times New Roman"/>
          <w:sz w:val="32"/>
          <w:szCs w:val="32"/>
        </w:rPr>
        <w:t>38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加快发展特色旅游</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_Toc61275584 \h </w:instrText>
      </w:r>
      <w:r>
        <w:rPr>
          <w:rFonts w:ascii="Times New Roman" w:hAnsi="Times New Roman" w:cs="Times New Roman"/>
          <w:sz w:val="32"/>
          <w:szCs w:val="32"/>
        </w:rPr>
        <w:fldChar w:fldCharType="separate"/>
      </w:r>
      <w:r>
        <w:rPr>
          <w:rFonts w:ascii="Times New Roman" w:hAnsi="Times New Roman" w:cs="Times New Roman"/>
          <w:sz w:val="32"/>
          <w:szCs w:val="32"/>
        </w:rPr>
        <w:t>39</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提升现代服务业发展水平</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_Toc61275585 \h </w:instrText>
      </w:r>
      <w:r>
        <w:rPr>
          <w:rFonts w:ascii="Times New Roman" w:hAnsi="Times New Roman" w:cs="Times New Roman"/>
          <w:sz w:val="32"/>
          <w:szCs w:val="32"/>
        </w:rPr>
        <w:fldChar w:fldCharType="separate"/>
      </w:r>
      <w:r>
        <w:rPr>
          <w:rFonts w:ascii="Times New Roman" w:hAnsi="Times New Roman" w:cs="Times New Roman"/>
          <w:sz w:val="32"/>
          <w:szCs w:val="32"/>
        </w:rPr>
        <w:t>40</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繁荣发展文体产业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_Toc61275586 \h </w:instrText>
      </w:r>
      <w:r>
        <w:rPr>
          <w:rFonts w:ascii="Times New Roman" w:hAnsi="Times New Roman" w:cs="Times New Roman"/>
          <w:sz w:val="32"/>
          <w:szCs w:val="32"/>
        </w:rPr>
        <w:fldChar w:fldCharType="separate"/>
      </w:r>
      <w:r>
        <w:rPr>
          <w:rFonts w:ascii="Times New Roman" w:hAnsi="Times New Roman" w:cs="Times New Roman"/>
          <w:sz w:val="32"/>
          <w:szCs w:val="32"/>
        </w:rPr>
        <w:t>41</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第五节  培育壮大高新技术产业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_Toc61275587 \h </w:instrText>
      </w:r>
      <w:r>
        <w:rPr>
          <w:rFonts w:ascii="Times New Roman" w:hAnsi="Times New Roman" w:cs="Times New Roman"/>
          <w:sz w:val="32"/>
          <w:szCs w:val="32"/>
        </w:rPr>
        <w:fldChar w:fldCharType="separate"/>
      </w:r>
      <w:r>
        <w:rPr>
          <w:rFonts w:ascii="Times New Roman" w:hAnsi="Times New Roman" w:cs="Times New Roman"/>
          <w:sz w:val="32"/>
          <w:szCs w:val="32"/>
        </w:rPr>
        <w:t>43</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第六节  大力发展海洋经济</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_Toc61275588 \h </w:instrText>
      </w:r>
      <w:r>
        <w:rPr>
          <w:rFonts w:ascii="Times New Roman" w:hAnsi="Times New Roman" w:cs="Times New Roman"/>
          <w:sz w:val="32"/>
          <w:szCs w:val="32"/>
        </w:rPr>
        <w:fldChar w:fldCharType="separate"/>
      </w:r>
      <w:r>
        <w:rPr>
          <w:rFonts w:ascii="Times New Roman" w:hAnsi="Times New Roman" w:cs="Times New Roman"/>
          <w:sz w:val="32"/>
          <w:szCs w:val="32"/>
        </w:rPr>
        <w:t>45</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第七节  推动经济数字化和智慧城市建设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_Toc61275589 \h </w:instrText>
      </w:r>
      <w:r>
        <w:rPr>
          <w:rFonts w:ascii="Times New Roman" w:hAnsi="Times New Roman" w:cs="Times New Roman"/>
          <w:sz w:val="32"/>
          <w:szCs w:val="32"/>
        </w:rPr>
        <w:fldChar w:fldCharType="separate"/>
      </w:r>
      <w:r>
        <w:rPr>
          <w:rFonts w:ascii="Times New Roman" w:hAnsi="Times New Roman" w:cs="Times New Roman"/>
          <w:sz w:val="32"/>
          <w:szCs w:val="32"/>
        </w:rPr>
        <w:t>47</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第七章  坚持系统观念，统筹推进城乡发展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_Toc61275590 \h </w:instrText>
      </w:r>
      <w:r>
        <w:rPr>
          <w:rFonts w:ascii="Times New Roman" w:hAnsi="Times New Roman" w:cs="Times New Roman"/>
          <w:sz w:val="32"/>
          <w:szCs w:val="32"/>
        </w:rPr>
        <w:fldChar w:fldCharType="separate"/>
      </w:r>
      <w:r>
        <w:rPr>
          <w:rFonts w:ascii="Times New Roman" w:hAnsi="Times New Roman" w:cs="Times New Roman"/>
          <w:sz w:val="32"/>
          <w:szCs w:val="32"/>
        </w:rPr>
        <w:t>50</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推进以人为核心的新型城镇化</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_Toc61275591 \h </w:instrText>
      </w:r>
      <w:r>
        <w:rPr>
          <w:rFonts w:ascii="Times New Roman" w:hAnsi="Times New Roman" w:cs="Times New Roman"/>
          <w:sz w:val="32"/>
          <w:szCs w:val="32"/>
        </w:rPr>
        <w:fldChar w:fldCharType="separate"/>
      </w:r>
      <w:r>
        <w:rPr>
          <w:rFonts w:ascii="Times New Roman" w:hAnsi="Times New Roman" w:cs="Times New Roman"/>
          <w:sz w:val="32"/>
          <w:szCs w:val="32"/>
        </w:rPr>
        <w:t>50</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织密高效畅通“路网”</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_Toc61275592 \h </w:instrText>
      </w:r>
      <w:r>
        <w:rPr>
          <w:rFonts w:ascii="Times New Roman" w:hAnsi="Times New Roman" w:cs="Times New Roman"/>
          <w:sz w:val="32"/>
          <w:szCs w:val="32"/>
        </w:rPr>
        <w:fldChar w:fldCharType="separate"/>
      </w:r>
      <w:r>
        <w:rPr>
          <w:rFonts w:ascii="Times New Roman" w:hAnsi="Times New Roman" w:cs="Times New Roman"/>
          <w:sz w:val="32"/>
          <w:szCs w:val="32"/>
        </w:rPr>
        <w:t>51</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强化电网气网能源保障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_Toc61275593 \h </w:instrText>
      </w:r>
      <w:r>
        <w:rPr>
          <w:rFonts w:ascii="Times New Roman" w:hAnsi="Times New Roman" w:cs="Times New Roman"/>
          <w:sz w:val="32"/>
          <w:szCs w:val="32"/>
        </w:rPr>
        <w:fldChar w:fldCharType="separate"/>
      </w:r>
      <w:r>
        <w:rPr>
          <w:rFonts w:ascii="Times New Roman" w:hAnsi="Times New Roman" w:cs="Times New Roman"/>
          <w:sz w:val="32"/>
          <w:szCs w:val="32"/>
        </w:rPr>
        <w:t>53</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加强水网设施建设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_Toc61275594 \h </w:instrText>
      </w:r>
      <w:r>
        <w:rPr>
          <w:rFonts w:ascii="Times New Roman" w:hAnsi="Times New Roman" w:cs="Times New Roman"/>
          <w:sz w:val="32"/>
          <w:szCs w:val="32"/>
        </w:rPr>
        <w:fldChar w:fldCharType="separate"/>
      </w:r>
      <w:r>
        <w:rPr>
          <w:rFonts w:ascii="Times New Roman" w:hAnsi="Times New Roman" w:cs="Times New Roman"/>
          <w:sz w:val="32"/>
          <w:szCs w:val="32"/>
        </w:rPr>
        <w:t>54</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第五节  打造高标准信息通信网</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_Toc61275595 \h </w:instrText>
      </w:r>
      <w:r>
        <w:rPr>
          <w:rFonts w:ascii="Times New Roman" w:hAnsi="Times New Roman" w:cs="Times New Roman"/>
          <w:sz w:val="32"/>
          <w:szCs w:val="32"/>
        </w:rPr>
        <w:fldChar w:fldCharType="separate"/>
      </w:r>
      <w:r>
        <w:rPr>
          <w:rFonts w:ascii="Times New Roman" w:hAnsi="Times New Roman" w:cs="Times New Roman"/>
          <w:sz w:val="32"/>
          <w:szCs w:val="32"/>
        </w:rPr>
        <w:t>56</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sz w:val="32"/>
          <w:szCs w:val="32"/>
        </w:rPr>
        <w:t>第八章  积极参与“一带一路”建设，提升服务保障国家重大战略能力</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_Toc61275596 \h </w:instrText>
      </w:r>
      <w:r>
        <w:rPr>
          <w:rFonts w:ascii="Times New Roman" w:hAnsi="Times New Roman" w:cs="Times New Roman"/>
          <w:sz w:val="32"/>
          <w:szCs w:val="32"/>
        </w:rPr>
        <w:fldChar w:fldCharType="separate"/>
      </w:r>
      <w:r>
        <w:rPr>
          <w:rFonts w:ascii="Times New Roman" w:hAnsi="Times New Roman" w:cs="Times New Roman"/>
          <w:sz w:val="32"/>
          <w:szCs w:val="32"/>
        </w:rPr>
        <w:t>58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深度融入“一带一路”建设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_Toc61275597 \h </w:instrText>
      </w:r>
      <w:r>
        <w:rPr>
          <w:rFonts w:ascii="Times New Roman" w:hAnsi="Times New Roman" w:cs="Times New Roman"/>
          <w:sz w:val="32"/>
          <w:szCs w:val="32"/>
        </w:rPr>
        <w:fldChar w:fldCharType="separate"/>
      </w:r>
      <w:r>
        <w:rPr>
          <w:rFonts w:ascii="Times New Roman" w:hAnsi="Times New Roman" w:cs="Times New Roman"/>
          <w:sz w:val="32"/>
          <w:szCs w:val="32"/>
        </w:rPr>
        <w:t>58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更好服务海洋强国战略</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_Toc61275598 \h </w:instrText>
      </w:r>
      <w:r>
        <w:rPr>
          <w:rFonts w:ascii="Times New Roman" w:hAnsi="Times New Roman" w:cs="Times New Roman"/>
          <w:sz w:val="32"/>
          <w:szCs w:val="32"/>
        </w:rPr>
        <w:fldChar w:fldCharType="separate"/>
      </w:r>
      <w:r>
        <w:rPr>
          <w:rFonts w:ascii="Times New Roman" w:hAnsi="Times New Roman" w:cs="Times New Roman"/>
          <w:sz w:val="32"/>
          <w:szCs w:val="32"/>
        </w:rPr>
        <w:t>59</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第九章  推动绿色发展，大力加强生态文明建设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_Toc61275600 \h </w:instrText>
      </w:r>
      <w:r>
        <w:rPr>
          <w:rFonts w:ascii="Times New Roman" w:hAnsi="Times New Roman" w:cs="Times New Roman"/>
          <w:sz w:val="32"/>
          <w:szCs w:val="32"/>
        </w:rPr>
        <w:fldChar w:fldCharType="separate"/>
      </w:r>
      <w:r>
        <w:rPr>
          <w:rFonts w:ascii="Times New Roman" w:hAnsi="Times New Roman" w:cs="Times New Roman"/>
          <w:sz w:val="32"/>
          <w:szCs w:val="32"/>
        </w:rPr>
        <w:t>60</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强化生态系统综合治理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_Toc61275601 \h </w:instrText>
      </w:r>
      <w:r>
        <w:rPr>
          <w:rFonts w:ascii="Times New Roman" w:hAnsi="Times New Roman" w:cs="Times New Roman"/>
          <w:sz w:val="32"/>
          <w:szCs w:val="32"/>
        </w:rPr>
        <w:fldChar w:fldCharType="separate"/>
      </w:r>
      <w:r>
        <w:rPr>
          <w:rFonts w:ascii="Times New Roman" w:hAnsi="Times New Roman" w:cs="Times New Roman"/>
          <w:sz w:val="32"/>
          <w:szCs w:val="32"/>
        </w:rPr>
        <w:t>60</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打好蓝天碧水净土保卫战</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_Toc61275602 \h </w:instrText>
      </w:r>
      <w:r>
        <w:rPr>
          <w:rFonts w:ascii="Times New Roman" w:hAnsi="Times New Roman" w:cs="Times New Roman"/>
          <w:sz w:val="32"/>
          <w:szCs w:val="32"/>
        </w:rPr>
        <w:fldChar w:fldCharType="separate"/>
      </w:r>
      <w:r>
        <w:rPr>
          <w:rFonts w:ascii="Times New Roman" w:hAnsi="Times New Roman" w:cs="Times New Roman"/>
          <w:sz w:val="32"/>
          <w:szCs w:val="32"/>
        </w:rPr>
        <w:t>62</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推进绿色循环低碳发展</w:t>
      </w:r>
      <w:r>
        <w:rPr>
          <w:rFonts w:ascii="Times New Roman" w:hAnsi="Times New Roman" w:cs="Times New Roman"/>
          <w:sz w:val="32"/>
          <w:szCs w:val="32"/>
        </w:rPr>
        <w:tab/>
      </w:r>
      <w:r>
        <w:rPr>
          <w:rFonts w:hint="eastAsia" w:ascii="Times New Roman" w:hAnsi="Times New Roman" w:cs="Times New Roman"/>
          <w:sz w:val="32"/>
          <w:szCs w:val="32"/>
          <w:lang w:val="en-US" w:eastAsia="zh-CN"/>
        </w:rPr>
        <w:t>59</w:t>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推动环境治理体系现代化</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_Toc61275604 \h </w:instrText>
      </w:r>
      <w:r>
        <w:rPr>
          <w:rFonts w:ascii="Times New Roman" w:hAnsi="Times New Roman" w:cs="Times New Roman"/>
          <w:sz w:val="32"/>
          <w:szCs w:val="32"/>
        </w:rPr>
        <w:fldChar w:fldCharType="separate"/>
      </w:r>
      <w:r>
        <w:rPr>
          <w:rFonts w:ascii="Times New Roman" w:hAnsi="Times New Roman" w:cs="Times New Roman"/>
          <w:sz w:val="32"/>
          <w:szCs w:val="32"/>
        </w:rPr>
        <w:t>66</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第十章  坚持以人民为中心，大力推进社会民生事业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_Toc61275605 \h </w:instrText>
      </w:r>
      <w:r>
        <w:rPr>
          <w:rFonts w:ascii="Times New Roman" w:hAnsi="Times New Roman" w:cs="Times New Roman"/>
          <w:sz w:val="32"/>
          <w:szCs w:val="32"/>
        </w:rPr>
        <w:fldChar w:fldCharType="separate"/>
      </w:r>
      <w:r>
        <w:rPr>
          <w:rFonts w:ascii="Times New Roman" w:hAnsi="Times New Roman" w:cs="Times New Roman"/>
          <w:sz w:val="32"/>
          <w:szCs w:val="32"/>
        </w:rPr>
        <w:t>69</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推动教育优质均衡发展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_Toc61275606 \h </w:instrText>
      </w:r>
      <w:r>
        <w:rPr>
          <w:rFonts w:ascii="Times New Roman" w:hAnsi="Times New Roman" w:cs="Times New Roman"/>
          <w:sz w:val="32"/>
          <w:szCs w:val="32"/>
        </w:rPr>
        <w:fldChar w:fldCharType="separate"/>
      </w:r>
      <w:r>
        <w:rPr>
          <w:rFonts w:ascii="Times New Roman" w:hAnsi="Times New Roman" w:cs="Times New Roman"/>
          <w:sz w:val="32"/>
          <w:szCs w:val="32"/>
        </w:rPr>
        <w:t>69</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提升全民健康水平</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_Toc61275607 \h </w:instrText>
      </w:r>
      <w:r>
        <w:rPr>
          <w:rFonts w:ascii="Times New Roman" w:hAnsi="Times New Roman" w:cs="Times New Roman"/>
          <w:sz w:val="32"/>
          <w:szCs w:val="32"/>
        </w:rPr>
        <w:fldChar w:fldCharType="separate"/>
      </w:r>
      <w:r>
        <w:rPr>
          <w:rFonts w:ascii="Times New Roman" w:hAnsi="Times New Roman" w:cs="Times New Roman"/>
          <w:sz w:val="32"/>
          <w:szCs w:val="32"/>
        </w:rPr>
        <w:t>70</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促进城乡就业提高居民收入水平</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_Toc61275608 \h </w:instrText>
      </w:r>
      <w:r>
        <w:rPr>
          <w:rFonts w:ascii="Times New Roman" w:hAnsi="Times New Roman" w:cs="Times New Roman"/>
          <w:sz w:val="32"/>
          <w:szCs w:val="32"/>
        </w:rPr>
        <w:fldChar w:fldCharType="separate"/>
      </w:r>
      <w:r>
        <w:rPr>
          <w:rFonts w:ascii="Times New Roman" w:hAnsi="Times New Roman" w:cs="Times New Roman"/>
          <w:sz w:val="32"/>
          <w:szCs w:val="32"/>
        </w:rPr>
        <w:t>72</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完善多层次社会保障体系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_Toc61275609 \h </w:instrText>
      </w:r>
      <w:r>
        <w:rPr>
          <w:rFonts w:ascii="Times New Roman" w:hAnsi="Times New Roman" w:cs="Times New Roman"/>
          <w:sz w:val="32"/>
          <w:szCs w:val="32"/>
        </w:rPr>
        <w:fldChar w:fldCharType="separate"/>
      </w:r>
      <w:r>
        <w:rPr>
          <w:rFonts w:ascii="Times New Roman" w:hAnsi="Times New Roman" w:cs="Times New Roman"/>
          <w:sz w:val="32"/>
          <w:szCs w:val="32"/>
        </w:rPr>
        <w:t>73</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第五节  促进房地产市场平稳健康发展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_Toc61275610 \h </w:instrText>
      </w:r>
      <w:r>
        <w:rPr>
          <w:rFonts w:ascii="Times New Roman" w:hAnsi="Times New Roman" w:cs="Times New Roman"/>
          <w:sz w:val="32"/>
          <w:szCs w:val="32"/>
        </w:rPr>
        <w:fldChar w:fldCharType="separate"/>
      </w:r>
      <w:r>
        <w:rPr>
          <w:rFonts w:ascii="Times New Roman" w:hAnsi="Times New Roman" w:cs="Times New Roman"/>
          <w:sz w:val="32"/>
          <w:szCs w:val="32"/>
        </w:rPr>
        <w:t>75</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第十一章  持续提升城市品质和内涵，建设宜居宜业宜游的国际滨海公园城市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_Toc61275611 \h </w:instrText>
      </w:r>
      <w:r>
        <w:rPr>
          <w:rFonts w:ascii="Times New Roman" w:hAnsi="Times New Roman" w:cs="Times New Roman"/>
          <w:sz w:val="32"/>
          <w:szCs w:val="32"/>
        </w:rPr>
        <w:fldChar w:fldCharType="separate"/>
      </w:r>
      <w:r>
        <w:rPr>
          <w:rFonts w:ascii="Times New Roman" w:hAnsi="Times New Roman" w:cs="Times New Roman"/>
          <w:sz w:val="32"/>
          <w:szCs w:val="32"/>
        </w:rPr>
        <w:t>77</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提升国际滨海公园城市建设水平</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_Toc61275612 \h </w:instrText>
      </w:r>
      <w:r>
        <w:rPr>
          <w:rFonts w:ascii="Times New Roman" w:hAnsi="Times New Roman" w:cs="Times New Roman"/>
          <w:sz w:val="32"/>
          <w:szCs w:val="32"/>
        </w:rPr>
        <w:fldChar w:fldCharType="separate"/>
      </w:r>
      <w:r>
        <w:rPr>
          <w:rFonts w:ascii="Times New Roman" w:hAnsi="Times New Roman" w:cs="Times New Roman"/>
          <w:sz w:val="32"/>
          <w:szCs w:val="32"/>
        </w:rPr>
        <w:t>77</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建设崇德向善的文明城市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_Toc61275613 \h </w:instrText>
      </w:r>
      <w:r>
        <w:rPr>
          <w:rFonts w:ascii="Times New Roman" w:hAnsi="Times New Roman" w:cs="Times New Roman"/>
          <w:sz w:val="32"/>
          <w:szCs w:val="32"/>
        </w:rPr>
        <w:fldChar w:fldCharType="separate"/>
      </w:r>
      <w:r>
        <w:rPr>
          <w:rFonts w:ascii="Times New Roman" w:hAnsi="Times New Roman" w:cs="Times New Roman"/>
          <w:sz w:val="32"/>
          <w:szCs w:val="32"/>
        </w:rPr>
        <w:t>78</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加强平安东方建设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_Toc61275614 \h </w:instrText>
      </w:r>
      <w:r>
        <w:rPr>
          <w:rFonts w:ascii="Times New Roman" w:hAnsi="Times New Roman" w:cs="Times New Roman"/>
          <w:sz w:val="32"/>
          <w:szCs w:val="32"/>
        </w:rPr>
        <w:fldChar w:fldCharType="separate"/>
      </w:r>
      <w:r>
        <w:rPr>
          <w:rFonts w:ascii="Times New Roman" w:hAnsi="Times New Roman" w:cs="Times New Roman"/>
          <w:sz w:val="32"/>
          <w:szCs w:val="32"/>
        </w:rPr>
        <w:t>79</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加强重大风险防控体系建设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_Toc61275615 \h </w:instrText>
      </w:r>
      <w:r>
        <w:rPr>
          <w:rFonts w:ascii="Times New Roman" w:hAnsi="Times New Roman" w:cs="Times New Roman"/>
          <w:sz w:val="32"/>
          <w:szCs w:val="32"/>
        </w:rPr>
        <w:fldChar w:fldCharType="separate"/>
      </w:r>
      <w:r>
        <w:rPr>
          <w:rFonts w:ascii="Times New Roman" w:hAnsi="Times New Roman" w:cs="Times New Roman"/>
          <w:sz w:val="32"/>
          <w:szCs w:val="32"/>
        </w:rPr>
        <w:t>81</w:t>
      </w:r>
      <w:r>
        <w:rPr>
          <w:rFonts w:ascii="Times New Roman" w:hAnsi="Times New Roman" w:cs="Times New Roman"/>
          <w:sz w:val="32"/>
          <w:szCs w:val="32"/>
        </w:rPr>
        <w:fldChar w:fldCharType="end"/>
      </w:r>
    </w:p>
    <w:p>
      <w:pPr>
        <w:pStyle w:val="14"/>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ascii="Times New Roman" w:hAnsi="Times New Roman" w:eastAsia="黑体" w:cs="Times New Roman"/>
          <w:bCs/>
          <w:kern w:val="44"/>
          <w:sz w:val="32"/>
          <w:szCs w:val="32"/>
        </w:rPr>
        <w:t>第十二章  坚持和加强党的全面领导，为实现“十四五”规划和二〇三五年远景目标而奋斗</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_Toc61275616 \h </w:instrText>
      </w:r>
      <w:r>
        <w:rPr>
          <w:rFonts w:ascii="Times New Roman" w:hAnsi="Times New Roman" w:cs="Times New Roman"/>
          <w:sz w:val="32"/>
          <w:szCs w:val="32"/>
        </w:rPr>
        <w:fldChar w:fldCharType="separate"/>
      </w:r>
      <w:r>
        <w:rPr>
          <w:rFonts w:ascii="Times New Roman" w:hAnsi="Times New Roman" w:cs="Times New Roman"/>
          <w:sz w:val="32"/>
          <w:szCs w:val="32"/>
        </w:rPr>
        <w:t>83</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第一节  加强党的集中统一领导</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_Toc61275617 \h </w:instrText>
      </w:r>
      <w:r>
        <w:rPr>
          <w:rFonts w:ascii="Times New Roman" w:hAnsi="Times New Roman" w:cs="Times New Roman"/>
          <w:sz w:val="32"/>
          <w:szCs w:val="32"/>
        </w:rPr>
        <w:fldChar w:fldCharType="separate"/>
      </w:r>
      <w:r>
        <w:rPr>
          <w:rFonts w:ascii="Times New Roman" w:hAnsi="Times New Roman" w:cs="Times New Roman"/>
          <w:sz w:val="32"/>
          <w:szCs w:val="32"/>
        </w:rPr>
        <w:t>83</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第二节  扎实做好意识形态工作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_Toc61275618 \h </w:instrText>
      </w:r>
      <w:r>
        <w:rPr>
          <w:rFonts w:ascii="Times New Roman" w:hAnsi="Times New Roman" w:cs="Times New Roman"/>
          <w:sz w:val="32"/>
          <w:szCs w:val="32"/>
        </w:rPr>
        <w:fldChar w:fldCharType="separate"/>
      </w:r>
      <w:r>
        <w:rPr>
          <w:rFonts w:ascii="Times New Roman" w:hAnsi="Times New Roman" w:cs="Times New Roman"/>
          <w:sz w:val="32"/>
          <w:szCs w:val="32"/>
        </w:rPr>
        <w:t>83</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第三节  增强基层党组织政治功能和组织力</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_Toc61275619 \h </w:instrText>
      </w:r>
      <w:r>
        <w:rPr>
          <w:rFonts w:ascii="Times New Roman" w:hAnsi="Times New Roman" w:cs="Times New Roman"/>
          <w:sz w:val="32"/>
          <w:szCs w:val="32"/>
        </w:rPr>
        <w:fldChar w:fldCharType="separate"/>
      </w:r>
      <w:r>
        <w:rPr>
          <w:rFonts w:ascii="Times New Roman" w:hAnsi="Times New Roman" w:cs="Times New Roman"/>
          <w:sz w:val="32"/>
          <w:szCs w:val="32"/>
        </w:rPr>
        <w:t>84</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第四节  建设高素质专业化干部队伍</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_Toc61275620 \h </w:instrText>
      </w:r>
      <w:r>
        <w:rPr>
          <w:rFonts w:ascii="Times New Roman" w:hAnsi="Times New Roman" w:cs="Times New Roman"/>
          <w:sz w:val="32"/>
          <w:szCs w:val="32"/>
        </w:rPr>
        <w:fldChar w:fldCharType="separate"/>
      </w:r>
      <w:r>
        <w:rPr>
          <w:rFonts w:ascii="Times New Roman" w:hAnsi="Times New Roman" w:cs="Times New Roman"/>
          <w:sz w:val="32"/>
          <w:szCs w:val="32"/>
        </w:rPr>
        <w:t>85</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第五节  创新人才发展体制机制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_Toc61275621 \h </w:instrText>
      </w:r>
      <w:r>
        <w:rPr>
          <w:rFonts w:ascii="Times New Roman" w:hAnsi="Times New Roman" w:cs="Times New Roman"/>
          <w:sz w:val="32"/>
          <w:szCs w:val="32"/>
        </w:rPr>
        <w:fldChar w:fldCharType="separate"/>
      </w:r>
      <w:r>
        <w:rPr>
          <w:rFonts w:ascii="Times New Roman" w:hAnsi="Times New Roman" w:cs="Times New Roman"/>
          <w:sz w:val="32"/>
          <w:szCs w:val="32"/>
        </w:rPr>
        <w:t>85</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第六节  以优良作风狠抓各项任务落实</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_Toc61275622 \h </w:instrText>
      </w:r>
      <w:r>
        <w:rPr>
          <w:rFonts w:ascii="Times New Roman" w:hAnsi="Times New Roman" w:cs="Times New Roman"/>
          <w:sz w:val="32"/>
          <w:szCs w:val="32"/>
        </w:rPr>
        <w:fldChar w:fldCharType="separate"/>
      </w:r>
      <w:r>
        <w:rPr>
          <w:rFonts w:ascii="Times New Roman" w:hAnsi="Times New Roman" w:cs="Times New Roman"/>
          <w:sz w:val="32"/>
          <w:szCs w:val="32"/>
        </w:rPr>
        <w:t>86</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第七节  持之以恒正风肃纪反腐</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_Toc61275623 \h </w:instrText>
      </w:r>
      <w:r>
        <w:rPr>
          <w:rFonts w:ascii="Times New Roman" w:hAnsi="Times New Roman" w:cs="Times New Roman"/>
          <w:sz w:val="32"/>
          <w:szCs w:val="32"/>
        </w:rPr>
        <w:fldChar w:fldCharType="separate"/>
      </w:r>
      <w:r>
        <w:rPr>
          <w:rFonts w:ascii="Times New Roman" w:hAnsi="Times New Roman" w:cs="Times New Roman"/>
          <w:sz w:val="32"/>
          <w:szCs w:val="32"/>
        </w:rPr>
        <w:t>87</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32"/>
          <w:szCs w:val="32"/>
        </w:rPr>
      </w:pPr>
      <w:r>
        <w:rPr>
          <w:rFonts w:hint="eastAsia" w:ascii="仿宋_GB2312" w:hAnsi="仿宋_GB2312" w:eastAsia="仿宋_GB2312" w:cs="仿宋_GB2312"/>
          <w:sz w:val="32"/>
          <w:szCs w:val="32"/>
        </w:rPr>
        <w:t>第八节  发挥党的统一战线优势进一步凝心聚力</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_Toc61275624 \h </w:instrText>
      </w:r>
      <w:r>
        <w:rPr>
          <w:rFonts w:ascii="Times New Roman" w:hAnsi="Times New Roman" w:cs="Times New Roman"/>
          <w:sz w:val="32"/>
          <w:szCs w:val="32"/>
        </w:rPr>
        <w:fldChar w:fldCharType="separate"/>
      </w:r>
      <w:r>
        <w:rPr>
          <w:rFonts w:ascii="Times New Roman" w:hAnsi="Times New Roman" w:cs="Times New Roman"/>
          <w:sz w:val="32"/>
          <w:szCs w:val="32"/>
        </w:rPr>
        <w:t>87</w:t>
      </w:r>
      <w:r>
        <w:rPr>
          <w:rFonts w:ascii="Times New Roman" w:hAnsi="Times New Roman" w:cs="Times New Roman"/>
          <w:sz w:val="32"/>
          <w:szCs w:val="32"/>
        </w:rPr>
        <w:fldChar w:fldCharType="end"/>
      </w:r>
    </w:p>
    <w:p>
      <w:pPr>
        <w:pStyle w:val="15"/>
        <w:keepNext w:val="0"/>
        <w:keepLines w:val="0"/>
        <w:pageBreakBefore w:val="0"/>
        <w:tabs>
          <w:tab w:val="right" w:leader="dot" w:pos="8296"/>
        </w:tabs>
        <w:kinsoku/>
        <w:wordWrap/>
        <w:overflowPunct/>
        <w:topLinePunct w:val="0"/>
        <w:autoSpaceDE/>
        <w:autoSpaceDN/>
        <w:bidi w:val="0"/>
        <w:adjustRightInd w:val="0"/>
        <w:snapToGrid w:val="0"/>
        <w:spacing w:line="600" w:lineRule="exact"/>
        <w:ind w:right="0" w:rightChars="0" w:firstLine="0" w:firstLineChars="0"/>
        <w:textAlignment w:val="auto"/>
        <w:outlineLvl w:val="9"/>
        <w:rPr>
          <w:rFonts w:ascii="Times New Roman" w:hAnsi="Times New Roman" w:cs="Times New Roman"/>
          <w:sz w:val="22"/>
          <w:szCs w:val="24"/>
        </w:rPr>
      </w:pPr>
      <w:r>
        <w:rPr>
          <w:rFonts w:hint="eastAsia" w:ascii="仿宋_GB2312" w:hAnsi="仿宋_GB2312" w:eastAsia="仿宋_GB2312" w:cs="仿宋_GB2312"/>
          <w:sz w:val="32"/>
          <w:szCs w:val="32"/>
        </w:rPr>
        <w:t>第九节  健全规划制定和落实机制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_Toc61275625 \h </w:instrText>
      </w:r>
      <w:r>
        <w:rPr>
          <w:rFonts w:ascii="Times New Roman" w:hAnsi="Times New Roman" w:cs="Times New Roman"/>
          <w:sz w:val="32"/>
          <w:szCs w:val="32"/>
        </w:rPr>
        <w:fldChar w:fldCharType="separate"/>
      </w:r>
      <w:r>
        <w:rPr>
          <w:rFonts w:ascii="Times New Roman" w:hAnsi="Times New Roman" w:cs="Times New Roman"/>
          <w:sz w:val="32"/>
          <w:szCs w:val="32"/>
        </w:rPr>
        <w:t>87</w:t>
      </w:r>
      <w:r>
        <w:rPr>
          <w:rFonts w:ascii="Times New Roman" w:hAnsi="Times New Roman" w:cs="Times New Roman"/>
          <w:sz w:val="32"/>
          <w:szCs w:val="32"/>
        </w:rPr>
        <w:fldChar w:fldCharType="end"/>
      </w:r>
    </w:p>
    <w:p>
      <w:pPr>
        <w:keepNext w:val="0"/>
        <w:keepLines w:val="0"/>
        <w:pageBreakBefore w:val="0"/>
        <w:widowControl/>
        <w:kinsoku/>
        <w:wordWrap/>
        <w:overflowPunct/>
        <w:topLinePunct w:val="0"/>
        <w:autoSpaceDE/>
        <w:autoSpaceDN/>
        <w:bidi w:val="0"/>
        <w:spacing w:line="600" w:lineRule="exact"/>
        <w:ind w:right="0" w:rightChars="0" w:firstLine="0" w:firstLineChars="0"/>
        <w:jc w:val="left"/>
        <w:textAlignment w:val="auto"/>
        <w:outlineLvl w:val="9"/>
        <w:rPr>
          <w:rFonts w:hint="eastAsia" w:ascii="仿宋_GB2312" w:hAnsi="仿宋_GB2312" w:eastAsia="仿宋_GB2312" w:cs="仿宋_GB2312"/>
          <w:kern w:val="2"/>
          <w:sz w:val="32"/>
          <w:szCs w:val="32"/>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_GB2312" w:cs="Times New Roman"/>
          <w:kern w:val="0"/>
          <w:sz w:val="48"/>
          <w:szCs w:val="48"/>
        </w:rPr>
        <w:fldChar w:fldCharType="end"/>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四五”时期（2021~2025年）是我国全面建成小康社会、实现第一个百年奋斗目标之后，乘势而上开启全面建设社会主义现代化国家新征程、向第二个百年奋斗目标进军的第一个五年，也是东方高质量高标准推进海南自贸港建设的关键五年</w:t>
      </w:r>
      <w:r>
        <w:rPr>
          <w:rFonts w:ascii="Times New Roman" w:hAnsi="Times New Roman" w:eastAsia="仿宋_GB2312" w:cs="Times New Roman"/>
          <w:kern w:val="0"/>
          <w:sz w:val="32"/>
          <w:szCs w:val="32"/>
        </w:rPr>
        <w:t>。科学编制“十四五”规划，实施一批重大政策、重大改革开放举措、重大工程和项目，推动经济社会持续健康发展，对于东方参与建设中国特色自由贸易港、全面深化改革开放、融入新发展格局、推进高质量发展，具有十分重要的意义。根据《</w:t>
      </w:r>
      <w:r>
        <w:rPr>
          <w:rFonts w:hint="eastAsia" w:ascii="Times New Roman" w:hAnsi="Times New Roman" w:eastAsia="仿宋_GB2312" w:cs="Times New Roman"/>
          <w:kern w:val="0"/>
          <w:sz w:val="32"/>
          <w:szCs w:val="32"/>
        </w:rPr>
        <w:t>中共东方市委关于制定国民经济和社会发展第十四个五年规划和二</w:t>
      </w:r>
      <w:r>
        <w:rPr>
          <w:rFonts w:hint="eastAsia" w:ascii="宋体" w:hAnsi="宋体" w:eastAsia="宋体" w:cs="宋体"/>
          <w:kern w:val="0"/>
          <w:sz w:val="32"/>
          <w:szCs w:val="32"/>
        </w:rPr>
        <w:t>〇</w:t>
      </w:r>
      <w:r>
        <w:rPr>
          <w:rFonts w:hint="eastAsia" w:ascii="仿宋_GB2312" w:hAnsi="仿宋_GB2312" w:eastAsia="仿宋_GB2312" w:cs="仿宋_GB2312"/>
          <w:kern w:val="0"/>
          <w:sz w:val="32"/>
          <w:szCs w:val="32"/>
        </w:rPr>
        <w:t>三五年远景目标的建</w:t>
      </w:r>
      <w:r>
        <w:rPr>
          <w:rFonts w:hint="eastAsia" w:ascii="Times New Roman" w:hAnsi="Times New Roman" w:eastAsia="仿宋_GB2312" w:cs="Times New Roman"/>
          <w:kern w:val="0"/>
          <w:sz w:val="32"/>
          <w:szCs w:val="32"/>
        </w:rPr>
        <w:t>议</w:t>
      </w:r>
      <w:r>
        <w:rPr>
          <w:rFonts w:ascii="Times New Roman" w:hAnsi="Times New Roman" w:eastAsia="仿宋_GB2312" w:cs="Times New Roman"/>
          <w:kern w:val="0"/>
          <w:sz w:val="32"/>
          <w:szCs w:val="32"/>
        </w:rPr>
        <w:t>》编制的《东方市国民经济和社会发展第十四个五年规划</w:t>
      </w:r>
      <w:r>
        <w:rPr>
          <w:rFonts w:hint="eastAsia" w:ascii="Times New Roman" w:hAnsi="Times New Roman" w:eastAsia="仿宋_GB2312" w:cs="Times New Roman"/>
          <w:kern w:val="0"/>
          <w:sz w:val="32"/>
          <w:szCs w:val="32"/>
        </w:rPr>
        <w:t>和二</w:t>
      </w:r>
      <w:r>
        <w:rPr>
          <w:rFonts w:hint="eastAsia" w:ascii="宋体" w:hAnsi="宋体" w:eastAsia="宋体" w:cs="宋体"/>
          <w:kern w:val="0"/>
          <w:sz w:val="32"/>
          <w:szCs w:val="32"/>
        </w:rPr>
        <w:t>〇</w:t>
      </w:r>
      <w:r>
        <w:rPr>
          <w:rFonts w:hint="eastAsia" w:ascii="仿宋_GB2312" w:hAnsi="仿宋_GB2312" w:eastAsia="仿宋_GB2312" w:cs="仿宋_GB2312"/>
          <w:kern w:val="0"/>
          <w:sz w:val="32"/>
          <w:szCs w:val="32"/>
        </w:rPr>
        <w:t>三五年远景目标</w:t>
      </w:r>
      <w:r>
        <w:rPr>
          <w:rFonts w:ascii="Times New Roman" w:hAnsi="Times New Roman" w:eastAsia="仿宋_GB2312" w:cs="Times New Roman"/>
          <w:kern w:val="0"/>
          <w:sz w:val="32"/>
          <w:szCs w:val="32"/>
        </w:rPr>
        <w:t>纲要》，是今后</w:t>
      </w:r>
      <w:r>
        <w:rPr>
          <w:rFonts w:hint="eastAsia" w:ascii="Times New Roman" w:hAnsi="Times New Roman" w:eastAsia="仿宋_GB2312" w:cs="Times New Roman"/>
          <w:kern w:val="0"/>
          <w:sz w:val="32"/>
          <w:szCs w:val="32"/>
        </w:rPr>
        <w:t>一个时期东方</w:t>
      </w:r>
      <w:r>
        <w:rPr>
          <w:rFonts w:ascii="Times New Roman" w:hAnsi="Times New Roman" w:eastAsia="仿宋_GB2312" w:cs="Times New Roman"/>
          <w:kern w:val="0"/>
          <w:sz w:val="32"/>
          <w:szCs w:val="32"/>
        </w:rPr>
        <w:t>经济社会发展的宏伟蓝图，是制定本市各级专项规划和年度计划的基本依据，是引领全市人民共同奋斗的行动纲领。</w:t>
      </w:r>
    </w:p>
    <w:p>
      <w:pPr>
        <w:keepNext w:val="0"/>
        <w:keepLines w:val="0"/>
        <w:pageBreakBefore w:val="0"/>
        <w:widowControl/>
        <w:kinsoku/>
        <w:wordWrap/>
        <w:overflowPunct/>
        <w:topLinePunct w:val="0"/>
        <w:bidi w:val="0"/>
        <w:spacing w:line="600" w:lineRule="exact"/>
        <w:ind w:left="0" w:leftChars="0" w:right="0" w:rightChars="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pStyle w:val="3"/>
        <w:keepNext w:val="0"/>
        <w:keepLines w:val="0"/>
        <w:pageBreakBefore w:val="0"/>
        <w:kinsoku/>
        <w:wordWrap/>
        <w:overflowPunct/>
        <w:topLinePunct w:val="0"/>
        <w:bidi w:val="0"/>
        <w:adjustRightInd w:val="0"/>
        <w:snapToGrid w:val="0"/>
        <w:spacing w:before="0" w:after="0" w:line="600" w:lineRule="exact"/>
        <w:ind w:left="0" w:leftChars="0" w:right="0" w:rightChars="0"/>
        <w:jc w:val="center"/>
        <w:textAlignment w:val="auto"/>
        <w:rPr>
          <w:rFonts w:ascii="Times New Roman" w:hAnsi="Times New Roman" w:eastAsia="黑体" w:cs="Times New Roman"/>
          <w:b w:val="0"/>
          <w:sz w:val="32"/>
          <w:szCs w:val="32"/>
        </w:rPr>
      </w:pPr>
      <w:bookmarkStart w:id="0" w:name="_Toc42785151"/>
      <w:bookmarkStart w:id="1" w:name="_Toc53216306"/>
      <w:bookmarkStart w:id="2" w:name="_Toc40275475"/>
      <w:bookmarkStart w:id="3" w:name="_Toc61275558"/>
      <w:r>
        <w:rPr>
          <w:rFonts w:ascii="Times New Roman" w:hAnsi="Times New Roman" w:eastAsia="黑体" w:cs="Times New Roman"/>
          <w:b w:val="0"/>
          <w:sz w:val="32"/>
          <w:szCs w:val="32"/>
        </w:rPr>
        <w:t xml:space="preserve">第一章  </w:t>
      </w:r>
      <w:bookmarkEnd w:id="0"/>
      <w:bookmarkEnd w:id="1"/>
      <w:bookmarkEnd w:id="2"/>
      <w:r>
        <w:rPr>
          <w:rFonts w:hint="eastAsia" w:ascii="Times New Roman" w:hAnsi="Times New Roman" w:eastAsia="黑体" w:cs="Times New Roman"/>
          <w:b w:val="0"/>
          <w:sz w:val="32"/>
          <w:szCs w:val="32"/>
        </w:rPr>
        <w:t>全面建成小康社会，奋力推进自由贸易港建设</w:t>
      </w:r>
      <w:bookmarkEnd w:id="3"/>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4" w:name="_Toc61275559"/>
      <w:r>
        <w:rPr>
          <w:rFonts w:ascii="Times New Roman" w:hAnsi="Times New Roman" w:eastAsia="楷体_GB2312" w:cs="Times New Roman"/>
        </w:rPr>
        <w:t xml:space="preserve">第一节  </w:t>
      </w:r>
      <w:r>
        <w:rPr>
          <w:rFonts w:hint="eastAsia" w:ascii="Times New Roman" w:hAnsi="Times New Roman" w:eastAsia="楷体_GB2312" w:cs="Times New Roman"/>
        </w:rPr>
        <w:t>决胜全面建成小康社会取得决定性成就</w:t>
      </w:r>
      <w:bookmarkEnd w:id="4"/>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三五”时期，在省委省政府的坚强领导下，全市上下坚持以习近平新时代中国特色社会主义思想为指导，学深悟透习近平总书记关于海南工作的系列重要讲话和指示批示精神、中央12号文件和《海南自由贸易港建设总体方案》，发扬“敢闯敢试、敢为人先、埋头苦干”的特区精神和“扎根守土、坚韧不拔、无私奉献”的椰树精神，以时不我待、只争朝夕的紧迫感和“一天当三天用”、钉钉子的干劲，全力应对统筹常态化疫情防控和经济社会发展、决战脱贫攻坚和决胜全面建成小康社会、海南自由贸易港建设“三个大考”，答好“三张答卷”，基本完成“十三五”规划确定的主要目标和任务，为自由贸易港建设打下坚实基础。</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发展质量效益不断提升。2020年，地区生产总值</w:t>
      </w:r>
      <w:r>
        <w:rPr>
          <w:rFonts w:hint="eastAsia" w:ascii="Times New Roman" w:hAnsi="Times New Roman" w:eastAsia="仿宋_GB2312" w:cs="Times New Roman"/>
          <w:kern w:val="0"/>
          <w:sz w:val="32"/>
          <w:szCs w:val="32"/>
          <w:lang w:val="en-US" w:eastAsia="zh-CN"/>
        </w:rPr>
        <w:t>186.5</w:t>
      </w:r>
      <w:r>
        <w:rPr>
          <w:rFonts w:hint="eastAsia" w:ascii="Times New Roman" w:hAnsi="Times New Roman" w:eastAsia="仿宋_GB2312" w:cs="Times New Roman"/>
          <w:kern w:val="0"/>
          <w:sz w:val="32"/>
          <w:szCs w:val="32"/>
        </w:rPr>
        <w:t>亿元、社会消费品零售总额</w:t>
      </w:r>
      <w:r>
        <w:rPr>
          <w:rFonts w:hint="eastAsia" w:ascii="Times New Roman" w:hAnsi="Times New Roman" w:eastAsia="仿宋_GB2312" w:cs="Times New Roman"/>
          <w:kern w:val="0"/>
          <w:sz w:val="32"/>
          <w:szCs w:val="32"/>
          <w:lang w:val="en-US" w:eastAsia="zh-CN"/>
        </w:rPr>
        <w:t>42.25</w:t>
      </w:r>
      <w:r>
        <w:rPr>
          <w:rFonts w:hint="eastAsia" w:ascii="Times New Roman" w:hAnsi="Times New Roman" w:eastAsia="仿宋_GB2312" w:cs="Times New Roman"/>
          <w:kern w:val="0"/>
          <w:sz w:val="32"/>
          <w:szCs w:val="32"/>
        </w:rPr>
        <w:t>亿元，与2015年相比</w:t>
      </w:r>
      <w:r>
        <w:rPr>
          <w:rFonts w:hint="eastAsia" w:ascii="Times New Roman" w:hAnsi="Times New Roman" w:eastAsia="仿宋_GB2312" w:cs="Times New Roman"/>
          <w:kern w:val="0"/>
          <w:sz w:val="32"/>
          <w:szCs w:val="32"/>
          <w:lang w:eastAsia="zh-CN"/>
        </w:rPr>
        <w:t>均</w:t>
      </w:r>
      <w:r>
        <w:rPr>
          <w:rFonts w:hint="eastAsia" w:ascii="Times New Roman" w:hAnsi="Times New Roman" w:eastAsia="仿宋_GB2312" w:cs="Times New Roman"/>
          <w:kern w:val="0"/>
          <w:sz w:val="32"/>
          <w:szCs w:val="32"/>
        </w:rPr>
        <w:t>增长2</w:t>
      </w:r>
      <w:r>
        <w:rPr>
          <w:rFonts w:hint="eastAsia"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rPr>
        <w:t>%。产业结构进一步优化，三次产业比重为</w:t>
      </w:r>
      <w:r>
        <w:rPr>
          <w:rFonts w:hint="eastAsia" w:ascii="Times New Roman" w:hAnsi="Times New Roman" w:eastAsia="仿宋_GB2312" w:cs="Times New Roman"/>
          <w:kern w:val="0"/>
          <w:sz w:val="32"/>
          <w:szCs w:val="32"/>
          <w:lang w:val="en-US" w:eastAsia="zh-CN"/>
        </w:rPr>
        <w:t>27.1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37.7</w:t>
      </w:r>
      <w:r>
        <w:rPr>
          <w:rFonts w:hint="eastAsia" w:ascii="Times New Roman" w:hAnsi="Times New Roman" w:eastAsia="仿宋_GB2312" w:cs="Times New Roman"/>
          <w:kern w:val="0"/>
          <w:sz w:val="32"/>
          <w:szCs w:val="32"/>
        </w:rPr>
        <w:t>：35.2，服务业占比较“十二五”期末提高8.9个百分点。投资结构不断优化，</w:t>
      </w:r>
      <w:r>
        <w:rPr>
          <w:rFonts w:hint="eastAsia" w:ascii="Times New Roman" w:hAnsi="Times New Roman" w:eastAsia="仿宋_GB2312" w:cs="Times New Roman"/>
          <w:kern w:val="0"/>
          <w:sz w:val="32"/>
          <w:szCs w:val="32"/>
          <w:lang w:val="en-US" w:eastAsia="zh-CN"/>
        </w:rPr>
        <w:t>2020年全市固定资产投资同比增长17.7%，其中</w:t>
      </w:r>
      <w:r>
        <w:rPr>
          <w:rFonts w:hint="eastAsia" w:ascii="Times New Roman" w:hAnsi="Times New Roman" w:eastAsia="仿宋_GB2312" w:cs="Times New Roman"/>
          <w:kern w:val="0"/>
          <w:sz w:val="32"/>
          <w:szCs w:val="32"/>
        </w:rPr>
        <w:t>非房地产投资占比85.8%。经济活力不断增强，市场主体突破3.5万户。一批科技含量高、附加值高的项目陆续投产，为我市不断注入高质量发展元素。</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全面深化改革开放向纵深推进。完成“多规合一”、农垦改革、党政机构改革、综合行政执法体制改革，获评国家级农产品质量安全示范县、全国农村集体产权制度改革试点典型单位，率先开展农村房地一体不动产确权登记发证改革试点，积极推进城乡交通运输一体化示范市创建工作，积极落实国际贸易“单一窗口”、自由贸易账户体系等制度，八所口岸通关效率居全省前列。深化行政审批制度改革，将全市梳理事项全部纳入省级一体化在线政务服务平台管理，推进“不见面审批”，“证照分离”改革持续深化，让群众、企业“少跑腿”变“不跑腿”。</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脱贫攻坚取得决定性胜利。全市建档立卡11918户52391人全部脱贫，36个贫困村顺利脱贫出列，贫困发生率从8.9%降至0。建档立卡贫困户人均纯收入从2016年的3839元提高到2020年的1.2万元，年均增长33%，“两不愁三保障”和饮水安全全面落实，贫困地区产业发展基础进一步夯实。顺利通过国家脱贫攻坚普查和省际交叉考检。</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基础设施水平不断提高。“五网”基础设施提质升级，主要路网建设不断完善、完成城区主干道“白改黑”改造提升，农村公路“六大工程”建设顺利推进；“五河四沟”整治有序推进，水利工程和灌区配套工程不断完善；城乡供水一体化加快实施，实现饮水安全全覆盖；城区天然气管网建设进展顺利；园区电网供电保障能力大幅提升；光网建设三年行动计划全面完成。城乡建设管理水平不断提升，“三创”取得良好成效，获评省级文明城市，省级卫生城市通过复审；累计建成110个美丽乡村、4家椰级乡村旅游点、2个全国文明村镇。</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人民生活水平持续改善。2020年城乡居民人均可支配收入为36218元、16547元，与2015年相比，增长41%和</w:t>
      </w:r>
      <w:r>
        <w:rPr>
          <w:rFonts w:hint="eastAsia" w:ascii="Times New Roman" w:hAnsi="Times New Roman" w:eastAsia="仿宋_GB2312" w:cs="Times New Roman"/>
          <w:kern w:val="0"/>
          <w:sz w:val="32"/>
          <w:szCs w:val="32"/>
          <w:lang w:val="en-US" w:eastAsia="zh-CN"/>
        </w:rPr>
        <w:t>51</w:t>
      </w:r>
      <w:r>
        <w:rPr>
          <w:rFonts w:hint="eastAsia" w:ascii="Times New Roman" w:hAnsi="Times New Roman" w:eastAsia="仿宋_GB2312" w:cs="Times New Roman"/>
          <w:kern w:val="0"/>
          <w:sz w:val="32"/>
          <w:szCs w:val="32"/>
        </w:rPr>
        <w:t>%，城镇登记失业率低于1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推进义务教育实现均衡发展，教育教学质量不断提升。全面推进基层医疗卫生机构标准化建设，强化队伍培养与引进，医疗卫生服务水平逐步提升。社会保障体系逐步完善，全民医保基本实现。落实城乡低保兜底保障政策，住房保障力度加大。公共文化加快发展，社会文明大行动全面推进。“菜篮子”工程扎实推进。人民群众获得感幸福感安全感不断增强。抓实抓细常态化疫情防控，全面落实稳企业、保就业、支农扶贫政策，全面复工复产复市复学。</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生态文明建设成效显著。扎实推进中央环保督察、国家海洋督察和省生态环境保护百日大督察反馈问题整改，持续推进生态环境六大专项整治、海岸带专项整治，“两违”整治取得突破性进展。加大农村垃圾、污水处理设施建设力度，大力开展农村人居环境整治。市污水处理厂改扩建工程和4个城中村污水收集管网工程已完成并投入使用，开工新建10个乡镇污水处理厂，建成123个行政村污水处理设施，农村</w:t>
      </w:r>
      <w:r>
        <w:rPr>
          <w:rFonts w:hint="eastAsia" w:ascii="Times New Roman" w:hAnsi="Times New Roman" w:eastAsia="仿宋_GB2312" w:cs="Times New Roman"/>
          <w:kern w:val="0"/>
          <w:sz w:val="32"/>
          <w:szCs w:val="32"/>
          <w:lang w:eastAsia="zh-CN"/>
        </w:rPr>
        <w:t>（含农场</w:t>
      </w:r>
      <w:r>
        <w:rPr>
          <w:rFonts w:hint="eastAsia" w:ascii="Times New Roman" w:hAnsi="Times New Roman" w:eastAsia="仿宋_GB2312" w:cs="Times New Roman"/>
          <w:kern w:val="0"/>
          <w:sz w:val="32"/>
          <w:szCs w:val="32"/>
          <w:lang w:val="en-US" w:eastAsia="zh-CN"/>
        </w:rPr>
        <w:t>3个居</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污水处理覆盖率达到6</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8%。严格管控烟花爆竹燃放和垃圾秸秆露天焚烧。全面推广应用新能源汽车，加快新能源汽车充电桩布点规划以及配套基础设施建设。2020年空气质量优良达标率为98.</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%，生活垃圾无害化处理率达100％。“绿化宝岛”大行动累计完成造林绿化8.1万亩、退塘7576亩、还林（湿）1996亩。</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党的建设全面加强。坚持五级书记抓党建，持续整顿软弱涣散基层党组织。接续三年开展干部作风建设年、巩固年、提升年行动，扎实开展“不忘初心、牢记使命”主题教育和“我为加快推进海南自由贸易港建设作贡献”活动，干部干事创业精气神不断提升。坚持正风肃纪，大力开展反腐败斗争，构建不敢腐、不能腐、不想腐的工作局面，营造风清气正的政治生态。大力实施“百万人才进海南”计划。推进“大统战”格局，促进民族团结进步。</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5" w:name="_Toc61275560"/>
      <w:r>
        <w:rPr>
          <w:rFonts w:ascii="Times New Roman" w:hAnsi="Times New Roman" w:eastAsia="楷体_GB2312" w:cs="Times New Roman"/>
        </w:rPr>
        <w:t xml:space="preserve">第二节  </w:t>
      </w:r>
      <w:r>
        <w:rPr>
          <w:rFonts w:hint="eastAsia" w:ascii="Times New Roman" w:hAnsi="Times New Roman" w:eastAsia="楷体_GB2312" w:cs="Times New Roman"/>
        </w:rPr>
        <w:t>新发展阶段面临的新机遇新挑战</w:t>
      </w:r>
      <w:bookmarkEnd w:id="5"/>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从国际看，当今世界正经历百年未有之大变局，和平与发展仍然是时代主题，同时国际环境日趋复杂，新冠肺炎疫情影响广泛深远，经济全球化遭遇逆流。从国内看，我国已转向高质量发展阶段，正在形成以国内大循环为主体、国内国际双循环相互促进的新发展格局。海南自由贸易港加快建设、“一带一路”深入推进、西部陆海新通道全面展开，为东方全面深化改革开放、实现跨越发展，提供了历史性重大机遇，但东方也面临经济基础薄弱、人才供给不足、治理体系和治理能力现代化水平有待提高等问题。全市上下必须永葆“闯”的精神、“创”的劲头、“干”的作风，在危机中育先机、于变局中开新局，全面完成“十四五”时期的发展目标。</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6" w:name="_Toc61275561"/>
      <w:r>
        <w:rPr>
          <w:rFonts w:ascii="Times New Roman" w:hAnsi="Times New Roman" w:eastAsia="楷体_GB2312" w:cs="Times New Roman"/>
        </w:rPr>
        <w:t>第</w:t>
      </w:r>
      <w:r>
        <w:rPr>
          <w:rFonts w:hint="eastAsia" w:ascii="Times New Roman" w:hAnsi="Times New Roman" w:eastAsia="楷体_GB2312" w:cs="Times New Roman"/>
        </w:rPr>
        <w:t>三</w:t>
      </w:r>
      <w:r>
        <w:rPr>
          <w:rFonts w:ascii="Times New Roman" w:hAnsi="Times New Roman" w:eastAsia="楷体_GB2312" w:cs="Times New Roman"/>
        </w:rPr>
        <w:t xml:space="preserve">节  </w:t>
      </w:r>
      <w:r>
        <w:rPr>
          <w:rFonts w:hint="eastAsia" w:ascii="Times New Roman" w:hAnsi="Times New Roman" w:eastAsia="楷体_GB2312" w:cs="Times New Roman"/>
        </w:rPr>
        <w:t>二</w:t>
      </w:r>
      <w:r>
        <w:rPr>
          <w:rFonts w:hint="eastAsia" w:ascii="宋体" w:hAnsi="宋体" w:eastAsia="宋体" w:cs="宋体"/>
        </w:rPr>
        <w:t>〇</w:t>
      </w:r>
      <w:r>
        <w:rPr>
          <w:rFonts w:hint="eastAsia" w:ascii="楷体_GB2312" w:hAnsi="楷体_GB2312" w:eastAsia="楷体_GB2312" w:cs="楷体_GB2312"/>
        </w:rPr>
        <w:t>三五年远景目</w:t>
      </w:r>
      <w:r>
        <w:rPr>
          <w:rFonts w:hint="eastAsia" w:ascii="Times New Roman" w:hAnsi="Times New Roman" w:eastAsia="楷体_GB2312" w:cs="Times New Roman"/>
        </w:rPr>
        <w:t>标</w:t>
      </w:r>
      <w:bookmarkEnd w:id="6"/>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展望2035年，社会主义现代化建设与全省同步走在全国前列，我市综合实力大幅提升，经济总量和城乡居民人均收入再迈上新的大台阶；自由贸易港建设成效显著，营商环境一流，参与国际经济合作和竞争新优势明显增强；基本实现新型工业化、信息化、城镇化、农业现代化，建成现代化经济体系，形成千亿级的高新技术临港产业，成为省内高水平创新型城市；生态环境持续向好，绿色生产生活方式广泛形成，生态文明建设达到新高度；人民生活富足、安定、康乐、祥和，城乡居民生活水平差距缩小，全体人民共同富裕迈出坚实步伐；法治建设更加完善，风险防控体系更加严密，现代社会治理格局基本形成，社会充满活力又和谐有序；全民素质和社会文明程度达到新高度，人民生活更加美好，基本建成宜居宜业宜游的国际滨海公园城市，成为海南自由贸易港的重要窗口和靓丽名片。</w:t>
      </w:r>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0"/>
        <w:rPr>
          <w:rFonts w:ascii="Times New Roman" w:hAnsi="Times New Roman" w:eastAsia="黑体" w:cs="Times New Roman"/>
          <w:bCs/>
          <w:kern w:val="44"/>
          <w:sz w:val="32"/>
          <w:szCs w:val="32"/>
        </w:rPr>
      </w:pPr>
      <w:bookmarkStart w:id="7" w:name="_Toc53216313"/>
      <w:bookmarkStart w:id="8" w:name="_Toc7468"/>
      <w:bookmarkStart w:id="9" w:name="_Toc61275562"/>
      <w:r>
        <w:rPr>
          <w:rFonts w:ascii="Times New Roman" w:hAnsi="Times New Roman" w:eastAsia="黑体" w:cs="Times New Roman"/>
          <w:bCs/>
          <w:kern w:val="44"/>
          <w:sz w:val="32"/>
          <w:szCs w:val="32"/>
        </w:rPr>
        <w:t xml:space="preserve">第二章  </w:t>
      </w:r>
      <w:bookmarkEnd w:id="7"/>
      <w:bookmarkEnd w:id="8"/>
      <w:r>
        <w:rPr>
          <w:rFonts w:hint="eastAsia" w:ascii="Times New Roman" w:hAnsi="Times New Roman" w:eastAsia="黑体" w:cs="Times New Roman"/>
          <w:bCs/>
          <w:kern w:val="44"/>
          <w:sz w:val="32"/>
          <w:szCs w:val="32"/>
        </w:rPr>
        <w:t>“十四五”时期经济社会发展指导方针和主要目标</w:t>
      </w:r>
      <w:bookmarkEnd w:id="9"/>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pStyle w:val="4"/>
        <w:keepNext w:val="0"/>
        <w:keepLines w:val="0"/>
        <w:pageBreakBefore w:val="0"/>
        <w:widowControl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10" w:name="_Toc29924"/>
      <w:bookmarkStart w:id="11" w:name="_Toc61275563"/>
      <w:r>
        <w:rPr>
          <w:rFonts w:ascii="Times New Roman" w:hAnsi="Times New Roman" w:eastAsia="楷体_GB2312" w:cs="Times New Roman"/>
        </w:rPr>
        <w:t xml:space="preserve">第一节  </w:t>
      </w:r>
      <w:bookmarkEnd w:id="10"/>
      <w:r>
        <w:rPr>
          <w:rFonts w:hint="eastAsia" w:ascii="Times New Roman" w:hAnsi="Times New Roman" w:eastAsia="楷体_GB2312" w:cs="Times New Roman"/>
        </w:rPr>
        <w:t>“十四五”时期经济社会发展指导思想</w:t>
      </w:r>
      <w:bookmarkEnd w:id="11"/>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统筹推进“五位一体”总体布局和协调推进“四个全面”战略布局，坚定不移贯彻新发展理念，坚持稳中求进工作总基调，以推动高质量发展为主题，以深化供给侧结构性改革为主线、注重需求侧管理，以改革创新为根本动力，以满足人民日益增长的美好生活需要为根本目的，紧紧围绕“两区一节点”的发展定位，积极融入以国内大循环为主体、国内国际双循环相互促进的新发展格局，统筹发展和安全，着力推进海南自贸港建设，逐步把东方打造成为宜居宜业宜游的国际滨海公园城市。</w:t>
      </w:r>
    </w:p>
    <w:p>
      <w:pPr>
        <w:pStyle w:val="4"/>
        <w:keepNext w:val="0"/>
        <w:keepLines w:val="0"/>
        <w:pageBreakBefore w:val="0"/>
        <w:widowControl w:val="0"/>
        <w:tabs>
          <w:tab w:val="left" w:pos="3969"/>
        </w:tabs>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12" w:name="_Toc61275564"/>
      <w:r>
        <w:rPr>
          <w:rFonts w:ascii="Times New Roman" w:hAnsi="Times New Roman" w:eastAsia="楷体_GB2312" w:cs="Times New Roman"/>
        </w:rPr>
        <w:t xml:space="preserve">第二节  </w:t>
      </w:r>
      <w:r>
        <w:rPr>
          <w:rFonts w:hint="eastAsia" w:ascii="Times New Roman" w:hAnsi="Times New Roman" w:eastAsia="楷体_GB2312" w:cs="Times New Roman"/>
        </w:rPr>
        <w:t>“十四五”时期经济社会发展必须遵循的原则</w:t>
      </w:r>
      <w:bookmarkEnd w:id="12"/>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坚持党的全面领导。坚持和完善党领导经济社会发展的体制机制，充分发挥集中力量办大事的制度优势，不断提高贯彻新发展理念、构建新发展格局的能力和水平。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以人民为中心。坚持人民主体地位，推动全市人民共同富裕，在自由贸易港建设中始终做到发展为了人民、发展依靠人民、发展成果由人民共享，维护人民根本利益，促进社会公平，增进民生福祉，不断实现人民对美好生活的向往。</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坚持新发展理念。把新发展理念贯穿自由贸易港建设全过程和各领域，推进创新、协调、绿色、开放、共享发展，实现更高质量、更有效率、更加公平、更可持续、更为安全的发展。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坚持深化改革开放。充分发挥市场在资源配置中的决定性作用，更好发挥政府作用，把握好“制度创新+优惠政策+法治规则”的重要安排，以高水平开放带动改革全面深化。</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坚持系统观念。加强统筹协调、联动协作，调动各方面积极性和创造性，着力固根基、扬优势、补短板、强弱项，注重防范化解重大风险挑战，实现发展质量、结构、规模、速度、效益、安全相统一。</w:t>
      </w:r>
    </w:p>
    <w:p>
      <w:pPr>
        <w:pStyle w:val="4"/>
        <w:keepNext w:val="0"/>
        <w:keepLines w:val="0"/>
        <w:pageBreakBefore w:val="0"/>
        <w:widowControl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13" w:name="_Toc61275565"/>
      <w:r>
        <w:rPr>
          <w:rFonts w:ascii="Times New Roman" w:hAnsi="Times New Roman" w:eastAsia="楷体_GB2312" w:cs="Times New Roman"/>
        </w:rPr>
        <w:t>第</w:t>
      </w:r>
      <w:r>
        <w:rPr>
          <w:rFonts w:hint="eastAsia" w:ascii="Times New Roman" w:hAnsi="Times New Roman" w:eastAsia="楷体_GB2312" w:cs="Times New Roman"/>
        </w:rPr>
        <w:t>三</w:t>
      </w:r>
      <w:r>
        <w:rPr>
          <w:rFonts w:ascii="Times New Roman" w:hAnsi="Times New Roman" w:eastAsia="楷体_GB2312" w:cs="Times New Roman"/>
        </w:rPr>
        <w:t xml:space="preserve">节  </w:t>
      </w:r>
      <w:r>
        <w:rPr>
          <w:rFonts w:hint="eastAsia" w:ascii="Times New Roman" w:hAnsi="Times New Roman" w:eastAsia="楷体_GB2312" w:cs="Times New Roman"/>
        </w:rPr>
        <w:t>“十四五”时期经济社会发展主要目标</w:t>
      </w:r>
      <w:bookmarkEnd w:id="13"/>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经济实现高质量发展。经济指标增长速度高于全省平均水平，地区生产总值实现年均增长1</w:t>
      </w:r>
      <w:r>
        <w:rPr>
          <w:rFonts w:hint="eastAsia" w:ascii="Times New Roman" w:hAnsi="Times New Roman" w:eastAsia="仿宋_GB2312" w:cs="Times New Roman"/>
          <w:kern w:val="0"/>
          <w:sz w:val="32"/>
          <w:szCs w:val="32"/>
          <w:lang w:val="en-US" w:eastAsia="zh-CN"/>
        </w:rPr>
        <w:tab/>
      </w:r>
      <w:r>
        <w:rPr>
          <w:rFonts w:hint="eastAsia" w:ascii="Times New Roman" w:hAnsi="Times New Roman" w:eastAsia="仿宋_GB2312" w:cs="Times New Roman"/>
          <w:kern w:val="0"/>
          <w:sz w:val="32"/>
          <w:szCs w:val="32"/>
        </w:rPr>
        <w:t>0%以上，力争翻一番。旅游业、现代服务业、高新技术产业、热带特色高效农业加快发展，市场主体持续大幅增长，实体经济进一步壮大，产业竞争力显著提升，新型工业化走在全省前列，现代化经济体系初步建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自由贸易港建设取得重大进展。营商环境总体位居省内一流水平，政府管理效率效能显著提高，重点领域改革持续深化，贸易投资便利化自由化水平大幅提升，推动各类要素便捷高效流动，风险防控有力有效。</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社会文明程度进一步提升。社会主义核心价值观更加深入人心，爱国主义、集体主义、向上向善、诚信互助的社会风尚更加浓厚，人民思想道德素质、科学文化素质、健康素质明显提高，全社会法治意识不断增强。</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生态文明建设取得新成效。生态环境治理能力和水平显著提升，完成省下达的约束性指标，国土空间开发保护格局进一步优化，生态环境基础设施建设全面加强，清洁能源利用进一步发展，城乡人居环境明显改善。</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人民生活水平显著提高。农村劳动力转移就业数量持续提升，居民收入增长基本与经济增长同步，人均预期寿命稳步提升，基本公共服务均等化水平明显提高。巩固拓展脱贫攻坚成果，乡村振兴迈出坚实步伐，城乡融合发展的体制机制更加成熟，“五网”基础设施持续改善。</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社会治理效能显著提升。行政效率和公信力显著提升，平安东方建设取得显著成效，突发公共事件应急能力显著增强，不发生系统性风险，社会治理水平明显提高。</w:t>
      </w:r>
    </w:p>
    <w:p>
      <w:pPr>
        <w:pStyle w:val="2"/>
        <w:rPr>
          <w:rFonts w:hint="eastAsia" w:ascii="Times New Roman" w:hAnsi="Times New Roman" w:eastAsia="仿宋_GB2312" w:cs="Times New Roman"/>
          <w:kern w:val="0"/>
          <w:sz w:val="32"/>
          <w:szCs w:val="32"/>
        </w:rPr>
      </w:pPr>
    </w:p>
    <w:tbl>
      <w:tblPr>
        <w:tblStyle w:val="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8"/>
        <w:gridCol w:w="2929"/>
        <w:gridCol w:w="1160"/>
        <w:gridCol w:w="911"/>
        <w:gridCol w:w="1134"/>
        <w:gridCol w:w="151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blHeader/>
          <w:jc w:val="center"/>
        </w:trPr>
        <w:tc>
          <w:tcPr>
            <w:tcW w:w="8959" w:type="dxa"/>
            <w:gridSpan w:val="7"/>
            <w:shd w:val="clear" w:color="auto" w:fill="auto"/>
            <w:vAlign w:val="center"/>
          </w:tcPr>
          <w:p>
            <w:pPr>
              <w:overflowPunct w:val="0"/>
              <w:jc w:val="center"/>
              <w:rPr>
                <w:rFonts w:ascii="黑体" w:hAnsi="黑体" w:eastAsia="黑体"/>
                <w:bCs/>
                <w:sz w:val="28"/>
                <w:szCs w:val="28"/>
              </w:rPr>
            </w:pPr>
            <w:r>
              <w:rPr>
                <w:rFonts w:hint="eastAsia" w:ascii="黑体" w:hAnsi="黑体" w:eastAsia="黑体"/>
                <w:bCs/>
                <w:sz w:val="28"/>
                <w:szCs w:val="28"/>
              </w:rPr>
              <w:t>专栏1:“十四五”时期经济社会发展指标表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atLeast"/>
          <w:tblHeader/>
          <w:jc w:val="center"/>
        </w:trPr>
        <w:tc>
          <w:tcPr>
            <w:tcW w:w="418" w:type="dxa"/>
            <w:shd w:val="clear" w:color="auto" w:fill="auto"/>
            <w:vAlign w:val="center"/>
          </w:tcPr>
          <w:p>
            <w:pPr>
              <w:overflowPunct w:val="0"/>
              <w:jc w:val="center"/>
              <w:rPr>
                <w:rFonts w:ascii="楷体_GB2312" w:hAnsi="黑体" w:eastAsia="楷体_GB2312"/>
                <w:b/>
                <w:sz w:val="24"/>
                <w:szCs w:val="24"/>
              </w:rPr>
            </w:pPr>
            <w:r>
              <w:rPr>
                <w:rFonts w:hint="eastAsia" w:ascii="楷体_GB2312" w:hAnsi="黑体" w:eastAsia="楷体_GB2312"/>
                <w:b/>
                <w:sz w:val="24"/>
                <w:szCs w:val="24"/>
              </w:rPr>
              <w:t>类别</w:t>
            </w:r>
          </w:p>
        </w:tc>
        <w:tc>
          <w:tcPr>
            <w:tcW w:w="2929" w:type="dxa"/>
            <w:shd w:val="clear" w:color="auto" w:fill="auto"/>
            <w:vAlign w:val="center"/>
          </w:tcPr>
          <w:p>
            <w:pPr>
              <w:overflowPunct w:val="0"/>
              <w:jc w:val="center"/>
              <w:rPr>
                <w:rFonts w:ascii="楷体_GB2312" w:hAnsi="黑体" w:eastAsia="楷体_GB2312"/>
                <w:b/>
                <w:sz w:val="24"/>
                <w:szCs w:val="24"/>
              </w:rPr>
            </w:pPr>
            <w:r>
              <w:rPr>
                <w:rFonts w:hint="eastAsia" w:ascii="楷体_GB2312" w:hAnsi="黑体" w:eastAsia="楷体_GB2312"/>
                <w:b/>
                <w:sz w:val="24"/>
                <w:szCs w:val="24"/>
              </w:rPr>
              <w:t>指标名称</w:t>
            </w:r>
          </w:p>
        </w:tc>
        <w:tc>
          <w:tcPr>
            <w:tcW w:w="1160" w:type="dxa"/>
            <w:shd w:val="clear" w:color="auto" w:fill="auto"/>
            <w:vAlign w:val="center"/>
          </w:tcPr>
          <w:p>
            <w:pPr>
              <w:overflowPunct w:val="0"/>
              <w:jc w:val="center"/>
              <w:rPr>
                <w:rFonts w:ascii="楷体_GB2312" w:hAnsi="黑体" w:eastAsia="楷体_GB2312"/>
                <w:b/>
                <w:sz w:val="24"/>
                <w:szCs w:val="24"/>
              </w:rPr>
            </w:pPr>
            <w:r>
              <w:rPr>
                <w:rFonts w:hint="eastAsia" w:ascii="楷体_GB2312" w:hAnsi="黑体" w:eastAsia="楷体_GB2312"/>
                <w:b/>
                <w:sz w:val="24"/>
                <w:szCs w:val="24"/>
              </w:rPr>
              <w:t>单位</w:t>
            </w:r>
          </w:p>
        </w:tc>
        <w:tc>
          <w:tcPr>
            <w:tcW w:w="911" w:type="dxa"/>
            <w:shd w:val="clear" w:color="auto" w:fill="auto"/>
            <w:vAlign w:val="center"/>
          </w:tcPr>
          <w:p>
            <w:pPr>
              <w:overflowPunct w:val="0"/>
              <w:jc w:val="center"/>
              <w:rPr>
                <w:rFonts w:ascii="楷体_GB2312" w:hAnsi="黑体" w:eastAsia="楷体_GB2312"/>
                <w:b/>
                <w:sz w:val="24"/>
                <w:szCs w:val="24"/>
              </w:rPr>
            </w:pPr>
            <w:r>
              <w:rPr>
                <w:rFonts w:hint="eastAsia" w:ascii="楷体_GB2312" w:hAnsi="黑体" w:eastAsia="楷体_GB2312"/>
                <w:b/>
                <w:sz w:val="24"/>
                <w:szCs w:val="24"/>
              </w:rPr>
              <w:t>2020年</w:t>
            </w:r>
          </w:p>
        </w:tc>
        <w:tc>
          <w:tcPr>
            <w:tcW w:w="1134" w:type="dxa"/>
            <w:shd w:val="clear" w:color="auto" w:fill="auto"/>
            <w:vAlign w:val="center"/>
          </w:tcPr>
          <w:p>
            <w:pPr>
              <w:overflowPunct w:val="0"/>
              <w:jc w:val="center"/>
              <w:rPr>
                <w:rFonts w:ascii="楷体_GB2312" w:hAnsi="黑体" w:eastAsia="楷体_GB2312"/>
                <w:b/>
                <w:sz w:val="24"/>
                <w:szCs w:val="24"/>
              </w:rPr>
            </w:pPr>
            <w:r>
              <w:rPr>
                <w:rFonts w:hint="eastAsia" w:ascii="楷体_GB2312" w:hAnsi="黑体" w:eastAsia="楷体_GB2312"/>
                <w:b/>
                <w:sz w:val="24"/>
                <w:szCs w:val="24"/>
              </w:rPr>
              <w:t>2025年</w:t>
            </w:r>
          </w:p>
        </w:tc>
        <w:tc>
          <w:tcPr>
            <w:tcW w:w="1512" w:type="dxa"/>
            <w:shd w:val="clear" w:color="auto" w:fill="auto"/>
            <w:vAlign w:val="center"/>
          </w:tcPr>
          <w:p>
            <w:pPr>
              <w:overflowPunct w:val="0"/>
              <w:jc w:val="center"/>
              <w:rPr>
                <w:rFonts w:ascii="楷体_GB2312" w:hAnsi="黑体" w:eastAsia="楷体_GB2312"/>
                <w:b/>
                <w:sz w:val="24"/>
                <w:szCs w:val="24"/>
              </w:rPr>
            </w:pPr>
            <w:r>
              <w:rPr>
                <w:rFonts w:hint="eastAsia" w:ascii="楷体_GB2312" w:hAnsi="黑体" w:eastAsia="楷体_GB2312"/>
                <w:b/>
                <w:sz w:val="24"/>
                <w:szCs w:val="24"/>
              </w:rPr>
              <w:t>年均增长</w:t>
            </w:r>
          </w:p>
          <w:p>
            <w:pPr>
              <w:overflowPunct w:val="0"/>
              <w:jc w:val="center"/>
              <w:rPr>
                <w:rFonts w:ascii="楷体_GB2312" w:hAnsi="黑体" w:eastAsia="楷体_GB2312"/>
                <w:b/>
                <w:sz w:val="24"/>
                <w:szCs w:val="24"/>
              </w:rPr>
            </w:pPr>
            <w:r>
              <w:rPr>
                <w:rFonts w:hint="eastAsia" w:ascii="楷体_GB2312" w:hAnsi="黑体" w:eastAsia="楷体_GB2312"/>
                <w:b/>
                <w:sz w:val="24"/>
                <w:szCs w:val="24"/>
              </w:rPr>
              <w:t>（或累计）</w:t>
            </w:r>
          </w:p>
        </w:tc>
        <w:tc>
          <w:tcPr>
            <w:tcW w:w="895" w:type="dxa"/>
            <w:shd w:val="clear" w:color="auto" w:fill="auto"/>
            <w:vAlign w:val="center"/>
          </w:tcPr>
          <w:p>
            <w:pPr>
              <w:overflowPunct w:val="0"/>
              <w:jc w:val="center"/>
              <w:rPr>
                <w:rFonts w:ascii="楷体_GB2312" w:hAnsi="黑体" w:eastAsia="楷体_GB2312"/>
                <w:b/>
                <w:sz w:val="24"/>
                <w:szCs w:val="24"/>
              </w:rPr>
            </w:pPr>
            <w:r>
              <w:rPr>
                <w:rFonts w:hint="eastAsia" w:ascii="楷体_GB2312" w:hAnsi="黑体" w:eastAsia="楷体_GB2312"/>
                <w:b/>
                <w:sz w:val="24"/>
                <w:szCs w:val="24"/>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jc w:val="center"/>
        </w:trPr>
        <w:tc>
          <w:tcPr>
            <w:tcW w:w="418" w:type="dxa"/>
            <w:vMerge w:val="restart"/>
            <w:shd w:val="clear" w:color="auto" w:fill="auto"/>
            <w:vAlign w:val="center"/>
          </w:tcPr>
          <w:p>
            <w:pPr>
              <w:overflowPunct w:val="0"/>
              <w:jc w:val="center"/>
              <w:rPr>
                <w:rFonts w:ascii="仿宋_GB2312" w:eastAsia="仿宋_GB2312"/>
                <w:b/>
                <w:sz w:val="24"/>
                <w:szCs w:val="24"/>
              </w:rPr>
            </w:pPr>
            <w:r>
              <w:rPr>
                <w:rFonts w:hint="eastAsia" w:ascii="仿宋_GB2312" w:eastAsia="仿宋_GB2312"/>
                <w:b/>
                <w:sz w:val="24"/>
                <w:szCs w:val="24"/>
              </w:rPr>
              <w:t>经济发展</w:t>
            </w: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1.地区生产总值增长</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186.5</w:t>
            </w:r>
          </w:p>
        </w:tc>
        <w:tc>
          <w:tcPr>
            <w:tcW w:w="1134"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373</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&gt;10</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val="en-US" w:eastAsia="zh-CN"/>
              </w:rPr>
              <w:t>.</w:t>
            </w:r>
            <w:r>
              <w:rPr>
                <w:rFonts w:hint="eastAsia" w:ascii="仿宋_GB2312" w:eastAsia="仿宋_GB2312"/>
                <w:sz w:val="24"/>
                <w:szCs w:val="24"/>
              </w:rPr>
              <w:t>常住人口城镇化率</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48.2</w:t>
            </w:r>
          </w:p>
        </w:tc>
        <w:tc>
          <w:tcPr>
            <w:tcW w:w="1134"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60</w:t>
            </w:r>
          </w:p>
        </w:tc>
        <w:tc>
          <w:tcPr>
            <w:tcW w:w="1512"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eastAsia="zh-CN"/>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3.旅游业增加值占地区生产总值比重</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4.73</w:t>
            </w:r>
          </w:p>
        </w:tc>
        <w:tc>
          <w:tcPr>
            <w:tcW w:w="1134"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9</w:t>
            </w:r>
          </w:p>
        </w:tc>
        <w:tc>
          <w:tcPr>
            <w:tcW w:w="1512"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eastAsia="zh-CN"/>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8" w:type="dxa"/>
            <w:vMerge w:val="restart"/>
            <w:shd w:val="clear" w:color="auto" w:fill="auto"/>
            <w:vAlign w:val="center"/>
          </w:tcPr>
          <w:p>
            <w:pPr>
              <w:overflowPunct w:val="0"/>
              <w:rPr>
                <w:rFonts w:hint="eastAsia" w:ascii="楷体_GB2312" w:hAnsi="黑体" w:eastAsia="楷体_GB2312"/>
                <w:b/>
                <w:sz w:val="24"/>
                <w:szCs w:val="24"/>
              </w:rPr>
            </w:pPr>
            <w:r>
              <w:rPr>
                <w:rFonts w:hint="eastAsia" w:ascii="仿宋_GB2312" w:eastAsia="仿宋_GB2312"/>
                <w:b/>
                <w:sz w:val="24"/>
                <w:szCs w:val="24"/>
              </w:rPr>
              <w:t>开放</w:t>
            </w:r>
            <w:r>
              <w:rPr>
                <w:rFonts w:ascii="仿宋_GB2312" w:eastAsia="仿宋_GB2312"/>
                <w:b/>
                <w:sz w:val="24"/>
                <w:szCs w:val="24"/>
              </w:rPr>
              <w:t>创新</w:t>
            </w:r>
          </w:p>
        </w:tc>
        <w:tc>
          <w:tcPr>
            <w:tcW w:w="2929" w:type="dxa"/>
            <w:shd w:val="clear" w:color="auto" w:fill="auto"/>
            <w:vAlign w:val="center"/>
          </w:tcPr>
          <w:p>
            <w:pPr>
              <w:overflowPunct w:val="0"/>
              <w:rPr>
                <w:rFonts w:ascii="楷体_GB2312" w:hAnsi="黑体" w:eastAsia="楷体_GB2312"/>
                <w:b/>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.实际利用外资总额</w:t>
            </w:r>
          </w:p>
        </w:tc>
        <w:tc>
          <w:tcPr>
            <w:tcW w:w="1160" w:type="dxa"/>
            <w:shd w:val="clear" w:color="auto" w:fill="auto"/>
            <w:vAlign w:val="center"/>
          </w:tcPr>
          <w:p>
            <w:pPr>
              <w:overflowPunct w:val="0"/>
              <w:jc w:val="center"/>
              <w:rPr>
                <w:rFonts w:ascii="楷体_GB2312" w:hAnsi="黑体" w:eastAsia="楷体_GB2312"/>
                <w:b/>
                <w:sz w:val="24"/>
                <w:szCs w:val="24"/>
              </w:rPr>
            </w:pPr>
            <w:r>
              <w:rPr>
                <w:rFonts w:hint="eastAsia" w:ascii="仿宋_GB2312" w:eastAsia="仿宋_GB2312"/>
                <w:sz w:val="24"/>
                <w:szCs w:val="24"/>
              </w:rPr>
              <w:t>亿美元</w:t>
            </w:r>
          </w:p>
        </w:tc>
        <w:tc>
          <w:tcPr>
            <w:tcW w:w="911" w:type="dxa"/>
            <w:shd w:val="clear" w:color="auto" w:fill="auto"/>
            <w:vAlign w:val="center"/>
          </w:tcPr>
          <w:p>
            <w:pPr>
              <w:overflowPunct w:val="0"/>
              <w:jc w:val="center"/>
              <w:rPr>
                <w:rFonts w:hint="eastAsia" w:ascii="楷体_GB2312" w:hAnsi="黑体" w:eastAsia="楷体_GB2312"/>
                <w:b/>
                <w:sz w:val="24"/>
                <w:szCs w:val="24"/>
                <w:lang w:eastAsia="zh-CN"/>
              </w:rPr>
            </w:pPr>
            <w:r>
              <w:rPr>
                <w:rFonts w:hint="eastAsia" w:ascii="仿宋_GB2312" w:eastAsia="仿宋_GB2312"/>
                <w:sz w:val="24"/>
                <w:szCs w:val="24"/>
                <w:lang w:val="en-US" w:eastAsia="zh-CN"/>
              </w:rPr>
              <w:t>-</w:t>
            </w:r>
          </w:p>
        </w:tc>
        <w:tc>
          <w:tcPr>
            <w:tcW w:w="1134" w:type="dxa"/>
            <w:shd w:val="clear" w:color="auto" w:fill="auto"/>
            <w:vAlign w:val="center"/>
          </w:tcPr>
          <w:p>
            <w:pPr>
              <w:overflowPunct w:val="0"/>
              <w:jc w:val="center"/>
              <w:rPr>
                <w:rFonts w:hint="eastAsia" w:ascii="楷体_GB2312" w:hAnsi="黑体" w:eastAsia="楷体_GB2312"/>
                <w:b/>
                <w:sz w:val="24"/>
                <w:szCs w:val="24"/>
                <w:lang w:eastAsia="zh-CN"/>
              </w:rPr>
            </w:pPr>
            <w:r>
              <w:rPr>
                <w:rFonts w:hint="eastAsia" w:ascii="仿宋_GB2312" w:eastAsia="仿宋_GB2312"/>
                <w:sz w:val="24"/>
                <w:szCs w:val="24"/>
                <w:lang w:eastAsia="zh-CN"/>
              </w:rPr>
              <w:t>-</w:t>
            </w:r>
          </w:p>
        </w:tc>
        <w:tc>
          <w:tcPr>
            <w:tcW w:w="1512" w:type="dxa"/>
            <w:shd w:val="clear" w:color="auto" w:fill="auto"/>
            <w:vAlign w:val="center"/>
          </w:tcPr>
          <w:p>
            <w:pPr>
              <w:overflowPunct w:val="0"/>
              <w:jc w:val="center"/>
              <w:rPr>
                <w:rFonts w:ascii="楷体_GB2312" w:hAnsi="黑体" w:eastAsia="楷体_GB2312"/>
                <w:b/>
                <w:sz w:val="24"/>
                <w:szCs w:val="24"/>
              </w:rPr>
            </w:pPr>
            <w:r>
              <w:rPr>
                <w:rFonts w:hint="eastAsia" w:ascii="仿宋_GB2312" w:eastAsia="仿宋_GB2312"/>
                <w:sz w:val="24"/>
                <w:szCs w:val="24"/>
              </w:rPr>
              <w:t>完成省下达任务</w:t>
            </w:r>
          </w:p>
        </w:tc>
        <w:tc>
          <w:tcPr>
            <w:tcW w:w="895" w:type="dxa"/>
            <w:shd w:val="clear" w:color="auto" w:fill="auto"/>
            <w:vAlign w:val="center"/>
          </w:tcPr>
          <w:p>
            <w:pPr>
              <w:overflowPunct w:val="0"/>
              <w:jc w:val="center"/>
              <w:rPr>
                <w:rFonts w:ascii="楷体_GB2312" w:hAnsi="黑体" w:eastAsia="楷体_GB2312"/>
                <w:b/>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8" w:type="dxa"/>
            <w:vMerge w:val="continue"/>
            <w:shd w:val="clear" w:color="auto" w:fill="auto"/>
            <w:vAlign w:val="center"/>
          </w:tcPr>
          <w:p>
            <w:pPr>
              <w:overflowPunct w:val="0"/>
              <w:rPr>
                <w:rFonts w:ascii="楷体_GB2312" w:hAnsi="黑体" w:eastAsia="楷体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.贸易进出口增长</w:t>
            </w:r>
          </w:p>
        </w:tc>
        <w:tc>
          <w:tcPr>
            <w:tcW w:w="1160" w:type="dxa"/>
            <w:shd w:val="clear" w:color="auto" w:fill="auto"/>
            <w:vAlign w:val="center"/>
          </w:tcPr>
          <w:p>
            <w:pPr>
              <w:overflowPunct w:val="0"/>
              <w:jc w:val="center"/>
              <w:rPr>
                <w:rFonts w:hint="eastAsia"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-55.37</w:t>
            </w:r>
          </w:p>
        </w:tc>
        <w:tc>
          <w:tcPr>
            <w:tcW w:w="1134" w:type="dxa"/>
            <w:shd w:val="clear" w:color="auto" w:fill="auto"/>
            <w:vAlign w:val="center"/>
          </w:tcPr>
          <w:p>
            <w:pPr>
              <w:overflowPunct w:val="0"/>
              <w:jc w:val="center"/>
              <w:rPr>
                <w:rFonts w:hint="eastAsia" w:ascii="仿宋_GB2312" w:eastAsia="仿宋_GB2312"/>
                <w:sz w:val="24"/>
                <w:szCs w:val="24"/>
              </w:rPr>
            </w:pPr>
            <w:r>
              <w:rPr>
                <w:rFonts w:hint="eastAsia" w:ascii="仿宋_GB2312" w:eastAsia="仿宋_GB2312"/>
                <w:sz w:val="24"/>
                <w:szCs w:val="24"/>
              </w:rPr>
              <w:t>-</w:t>
            </w:r>
          </w:p>
        </w:tc>
        <w:tc>
          <w:tcPr>
            <w:tcW w:w="1512" w:type="dxa"/>
            <w:shd w:val="clear" w:color="auto" w:fill="auto"/>
            <w:vAlign w:val="center"/>
          </w:tcPr>
          <w:p>
            <w:pPr>
              <w:overflowPunct w:val="0"/>
              <w:jc w:val="center"/>
              <w:rPr>
                <w:rFonts w:hint="eastAsia" w:ascii="仿宋_GB2312" w:eastAsia="仿宋_GB2312"/>
                <w:sz w:val="24"/>
                <w:szCs w:val="24"/>
              </w:rPr>
            </w:pPr>
            <w:r>
              <w:rPr>
                <w:rFonts w:hint="eastAsia" w:ascii="仿宋_GB2312" w:eastAsia="仿宋_GB2312"/>
                <w:sz w:val="24"/>
                <w:szCs w:val="24"/>
              </w:rPr>
              <w:t>完成省下达任务</w:t>
            </w:r>
          </w:p>
        </w:tc>
        <w:tc>
          <w:tcPr>
            <w:tcW w:w="895" w:type="dxa"/>
            <w:shd w:val="clear" w:color="auto" w:fill="auto"/>
            <w:vAlign w:val="center"/>
          </w:tcPr>
          <w:p>
            <w:pPr>
              <w:overflowPunct w:val="0"/>
              <w:jc w:val="center"/>
              <w:rPr>
                <w:rFonts w:hint="eastAsia"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rFonts w:ascii="仿宋_GB2312" w:eastAsia="仿宋_GB2312"/>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rPr>
              <w:t>.</w:t>
            </w:r>
            <w:r>
              <w:rPr>
                <w:rFonts w:hint="eastAsia" w:ascii="仿宋_GB2312" w:eastAsia="仿宋_GB2312"/>
                <w:spacing w:val="-6"/>
                <w:sz w:val="24"/>
                <w:szCs w:val="24"/>
              </w:rPr>
              <w:t xml:space="preserve">每万人口发明专利拥有量 </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件</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0.58</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完成省下达任务</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restart"/>
            <w:shd w:val="clear" w:color="auto" w:fill="auto"/>
            <w:vAlign w:val="center"/>
          </w:tcPr>
          <w:p>
            <w:pPr>
              <w:overflowPunct w:val="0"/>
              <w:jc w:val="center"/>
              <w:rPr>
                <w:rFonts w:ascii="仿宋_GB2312" w:eastAsia="仿宋_GB2312"/>
                <w:b/>
                <w:sz w:val="24"/>
                <w:szCs w:val="24"/>
              </w:rPr>
            </w:pPr>
            <w:r>
              <w:rPr>
                <w:rFonts w:hint="eastAsia" w:ascii="仿宋_GB2312" w:eastAsia="仿宋_GB2312"/>
                <w:b/>
                <w:sz w:val="24"/>
                <w:szCs w:val="24"/>
              </w:rPr>
              <w:t>民生福祉</w:t>
            </w: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rPr>
              <w:t>.居民人均可支配收入增长</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5.7</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10</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8</w:t>
            </w:r>
            <w:r>
              <w:rPr>
                <w:rFonts w:hint="eastAsia" w:ascii="仿宋_GB2312" w:eastAsia="仿宋_GB2312"/>
                <w:sz w:val="24"/>
                <w:szCs w:val="24"/>
              </w:rPr>
              <w:t>.城镇调查失业率</w:t>
            </w:r>
          </w:p>
        </w:tc>
        <w:tc>
          <w:tcPr>
            <w:tcW w:w="1160" w:type="dxa"/>
            <w:shd w:val="clear" w:color="auto" w:fill="auto"/>
            <w:vAlign w:val="center"/>
          </w:tcPr>
          <w:p>
            <w:pPr>
              <w:overflowPunct w:val="0"/>
              <w:jc w:val="center"/>
              <w:rPr>
                <w:rFonts w:ascii="仿宋_GB2312" w:eastAsia="仿宋_GB2312"/>
                <w:strike/>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&lt;5</w:t>
            </w:r>
            <w:r>
              <w:rPr>
                <w:rFonts w:hint="eastAsia" w:ascii="仿宋_GB2312" w:eastAsia="仿宋_GB2312"/>
                <w:sz w:val="24"/>
                <w:szCs w:val="24"/>
                <w:lang w:val="en-US" w:eastAsia="zh-CN"/>
              </w:rPr>
              <w:t>.5</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.劳动年龄人口平均受教育年限</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年</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11</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11.5</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0</w:t>
            </w:r>
            <w:r>
              <w:rPr>
                <w:rFonts w:hint="eastAsia" w:ascii="仿宋_GB2312" w:eastAsia="仿宋_GB2312"/>
                <w:sz w:val="24"/>
                <w:szCs w:val="24"/>
              </w:rPr>
              <w:t>.人均预期寿命</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岁</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78.5</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81</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1</w:t>
            </w:r>
            <w:r>
              <w:rPr>
                <w:rFonts w:hint="eastAsia" w:ascii="仿宋_GB2312" w:eastAsia="仿宋_GB2312"/>
                <w:sz w:val="24"/>
                <w:szCs w:val="24"/>
              </w:rPr>
              <w:t>.每千人口拥有执业（助理）医师数</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人</w:t>
            </w:r>
          </w:p>
        </w:tc>
        <w:tc>
          <w:tcPr>
            <w:tcW w:w="911" w:type="dxa"/>
            <w:shd w:val="clear" w:color="auto" w:fill="auto"/>
            <w:vAlign w:val="center"/>
          </w:tcPr>
          <w:p>
            <w:pPr>
              <w:overflowPunct w:val="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2.75</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3.1</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2</w:t>
            </w:r>
            <w:r>
              <w:rPr>
                <w:rFonts w:hint="eastAsia" w:ascii="仿宋_GB2312" w:eastAsia="仿宋_GB2312"/>
                <w:sz w:val="24"/>
                <w:szCs w:val="24"/>
              </w:rPr>
              <w:t>.每千人口医疗卫生机构床位数</w:t>
            </w:r>
          </w:p>
        </w:tc>
        <w:tc>
          <w:tcPr>
            <w:tcW w:w="1160"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eastAsia="zh-CN"/>
              </w:rPr>
              <w:t>张</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6.41</w:t>
            </w:r>
          </w:p>
        </w:tc>
        <w:tc>
          <w:tcPr>
            <w:tcW w:w="1134"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6.5</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jc w:val="center"/>
              <w:rPr>
                <w:rFonts w:ascii="仿宋_GB2312" w:eastAsia="仿宋_GB2312"/>
                <w:b/>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3</w:t>
            </w:r>
            <w:r>
              <w:rPr>
                <w:rFonts w:hint="eastAsia" w:ascii="仿宋_GB2312" w:eastAsia="仿宋_GB2312"/>
                <w:sz w:val="24"/>
                <w:szCs w:val="24"/>
              </w:rPr>
              <w:t>.安居型商品房建设套数</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万套</w:t>
            </w:r>
          </w:p>
        </w:tc>
        <w:tc>
          <w:tcPr>
            <w:tcW w:w="911"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512"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rPr>
              <w:t>完成</w:t>
            </w:r>
            <w:r>
              <w:rPr>
                <w:rFonts w:hint="eastAsia" w:ascii="仿宋_GB2312" w:eastAsia="仿宋_GB2312"/>
                <w:sz w:val="24"/>
                <w:szCs w:val="24"/>
                <w:lang w:eastAsia="zh-CN"/>
              </w:rPr>
              <w:t>全市</w:t>
            </w:r>
          </w:p>
          <w:p>
            <w:pPr>
              <w:overflowPunct w:val="0"/>
              <w:jc w:val="center"/>
              <w:rPr>
                <w:rFonts w:ascii="仿宋_GB2312" w:eastAsia="仿宋_GB2312"/>
                <w:sz w:val="24"/>
                <w:szCs w:val="24"/>
              </w:rPr>
            </w:pPr>
            <w:r>
              <w:rPr>
                <w:rFonts w:hint="eastAsia" w:ascii="仿宋_GB2312" w:eastAsia="仿宋_GB2312"/>
                <w:sz w:val="24"/>
                <w:szCs w:val="24"/>
                <w:lang w:eastAsia="zh-CN"/>
              </w:rPr>
              <w:t>建设计划</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restart"/>
            <w:shd w:val="clear" w:color="auto" w:fill="auto"/>
            <w:vAlign w:val="center"/>
          </w:tcPr>
          <w:p>
            <w:pPr>
              <w:overflowPunct w:val="0"/>
              <w:jc w:val="center"/>
              <w:rPr>
                <w:rFonts w:ascii="仿宋_GB2312" w:eastAsia="仿宋_GB2312"/>
                <w:b/>
                <w:sz w:val="24"/>
                <w:szCs w:val="24"/>
              </w:rPr>
            </w:pPr>
            <w:r>
              <w:rPr>
                <w:rFonts w:hint="eastAsia" w:ascii="仿宋_GB2312" w:eastAsia="仿宋_GB2312"/>
                <w:b/>
                <w:sz w:val="24"/>
                <w:szCs w:val="24"/>
              </w:rPr>
              <w:t>绿色生态</w:t>
            </w:r>
          </w:p>
        </w:tc>
        <w:tc>
          <w:tcPr>
            <w:tcW w:w="2929" w:type="dxa"/>
            <w:shd w:val="clear" w:color="auto" w:fill="auto"/>
            <w:vAlign w:val="center"/>
          </w:tcPr>
          <w:p>
            <w:pPr>
              <w:overflowPunct w:val="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lang w:val="en-US" w:eastAsia="zh-CN"/>
              </w:rPr>
              <w:t>4</w:t>
            </w:r>
            <w:r>
              <w:rPr>
                <w:rFonts w:hint="eastAsia" w:ascii="仿宋_GB2312" w:eastAsia="仿宋_GB2312"/>
                <w:sz w:val="24"/>
                <w:szCs w:val="24"/>
              </w:rPr>
              <w:t>.单位地区生产总值能源</w:t>
            </w:r>
            <w:r>
              <w:rPr>
                <w:rFonts w:ascii="仿宋_GB2312" w:eastAsia="仿宋_GB2312"/>
                <w:sz w:val="24"/>
                <w:szCs w:val="24"/>
              </w:rPr>
              <w:t>消</w:t>
            </w:r>
            <w:r>
              <w:rPr>
                <w:rFonts w:hint="eastAsia" w:ascii="仿宋_GB2312" w:eastAsia="仿宋_GB2312"/>
                <w:sz w:val="24"/>
                <w:szCs w:val="24"/>
              </w:rPr>
              <w:t>耗降低</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-2.24</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完成省下达任务</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15</w:t>
            </w:r>
            <w:r>
              <w:rPr>
                <w:rFonts w:hint="eastAsia" w:ascii="仿宋_GB2312" w:eastAsia="仿宋_GB2312"/>
                <w:sz w:val="24"/>
                <w:szCs w:val="24"/>
              </w:rPr>
              <w:t>.单位地区生产总值二氧化碳排放降低</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lang w:val="en-US" w:eastAsia="zh-CN"/>
              </w:rPr>
              <w:t>6.13</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完成省下达任务</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sz w:val="24"/>
                <w:szCs w:val="24"/>
              </w:rPr>
            </w:pPr>
          </w:p>
        </w:tc>
        <w:tc>
          <w:tcPr>
            <w:tcW w:w="2929" w:type="dxa"/>
            <w:shd w:val="clear" w:color="auto" w:fill="auto"/>
            <w:vAlign w:val="center"/>
          </w:tcPr>
          <w:p>
            <w:pPr>
              <w:overflowPunct w:val="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lang w:val="en-US" w:eastAsia="zh-CN"/>
              </w:rPr>
              <w:t>6</w:t>
            </w:r>
            <w:r>
              <w:rPr>
                <w:rFonts w:hint="eastAsia" w:ascii="仿宋_GB2312" w:eastAsia="仿宋_GB2312"/>
                <w:sz w:val="24"/>
                <w:szCs w:val="24"/>
              </w:rPr>
              <w:t>.细颗粒物（PM2.5）浓度</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微克/</w:t>
            </w:r>
          </w:p>
          <w:p>
            <w:pPr>
              <w:overflowPunct w:val="0"/>
              <w:jc w:val="center"/>
              <w:rPr>
                <w:rFonts w:ascii="仿宋_GB2312" w:eastAsia="仿宋_GB2312"/>
                <w:sz w:val="24"/>
                <w:szCs w:val="24"/>
              </w:rPr>
            </w:pPr>
            <w:r>
              <w:rPr>
                <w:rFonts w:hint="eastAsia" w:ascii="仿宋_GB2312" w:eastAsia="仿宋_GB2312"/>
                <w:sz w:val="24"/>
                <w:szCs w:val="24"/>
              </w:rPr>
              <w:t>每立方米</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12</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5</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17</w:t>
            </w:r>
            <w:r>
              <w:rPr>
                <w:rFonts w:hint="eastAsia" w:ascii="仿宋_GB2312" w:eastAsia="仿宋_GB2312"/>
                <w:sz w:val="24"/>
                <w:szCs w:val="24"/>
              </w:rPr>
              <w:t>.市县空气质量优良天数比例</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98.4</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&gt;98</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18</w:t>
            </w:r>
            <w:r>
              <w:rPr>
                <w:rFonts w:hint="eastAsia" w:ascii="仿宋_GB2312" w:eastAsia="仿宋_GB2312"/>
                <w:sz w:val="24"/>
                <w:szCs w:val="24"/>
              </w:rPr>
              <w:t>.地表水达到或好于III类水体比例</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81.8</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≥9</w:t>
            </w:r>
            <w:r>
              <w:rPr>
                <w:rFonts w:hint="eastAsia" w:ascii="仿宋_GB2312" w:eastAsia="仿宋_GB2312"/>
                <w:sz w:val="24"/>
                <w:szCs w:val="24"/>
                <w:lang w:val="en-US" w:eastAsia="zh-CN"/>
              </w:rPr>
              <w:t>1</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lang w:val="en-US" w:eastAsia="zh-CN"/>
              </w:rPr>
              <w:t>19</w:t>
            </w:r>
            <w:r>
              <w:rPr>
                <w:rFonts w:hint="eastAsia" w:ascii="仿宋_GB2312" w:eastAsia="仿宋_GB2312"/>
                <w:sz w:val="24"/>
                <w:szCs w:val="24"/>
              </w:rPr>
              <w:t>.森林覆盖率</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911"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val="en-US" w:eastAsia="zh-CN"/>
              </w:rPr>
              <w:t>57.75</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61</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sz w:val="24"/>
                <w:szCs w:val="24"/>
              </w:rPr>
            </w:pPr>
          </w:p>
        </w:tc>
        <w:tc>
          <w:tcPr>
            <w:tcW w:w="2929" w:type="dxa"/>
            <w:shd w:val="clear" w:color="auto" w:fill="auto"/>
            <w:vAlign w:val="center"/>
          </w:tcPr>
          <w:p>
            <w:pPr>
              <w:overflowPunct w:val="0"/>
              <w:rPr>
                <w:rFonts w:hint="eastAsia" w:ascii="仿宋_GB2312" w:eastAsia="仿宋_GB2312"/>
                <w:sz w:val="24"/>
                <w:szCs w:val="24"/>
              </w:rPr>
            </w:pPr>
            <w:r>
              <w:rPr>
                <w:rFonts w:hint="eastAsia" w:ascii="仿宋_GB2312" w:eastAsia="仿宋_GB2312"/>
                <w:sz w:val="24"/>
                <w:szCs w:val="24"/>
                <w:lang w:val="en-US" w:eastAsia="zh-CN"/>
              </w:rPr>
              <w:t>20.</w:t>
            </w:r>
            <w:r>
              <w:rPr>
                <w:rFonts w:hint="eastAsia" w:ascii="仿宋_GB2312" w:eastAsia="仿宋_GB2312"/>
                <w:sz w:val="24"/>
                <w:szCs w:val="24"/>
              </w:rPr>
              <w:t>人均公园绿地</w:t>
            </w:r>
          </w:p>
        </w:tc>
        <w:tc>
          <w:tcPr>
            <w:tcW w:w="1160"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eastAsia="zh-CN"/>
              </w:rPr>
              <w:t>平方米</w:t>
            </w:r>
          </w:p>
        </w:tc>
        <w:tc>
          <w:tcPr>
            <w:tcW w:w="911" w:type="dxa"/>
            <w:shd w:val="clear" w:color="auto" w:fill="auto"/>
            <w:vAlign w:val="center"/>
          </w:tcPr>
          <w:p>
            <w:pPr>
              <w:overflowPunct w:val="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8.19</w:t>
            </w:r>
          </w:p>
        </w:tc>
        <w:tc>
          <w:tcPr>
            <w:tcW w:w="1134" w:type="dxa"/>
            <w:shd w:val="clear" w:color="auto" w:fill="auto"/>
            <w:vAlign w:val="center"/>
          </w:tcPr>
          <w:p>
            <w:pPr>
              <w:overflowPunct w:val="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≥8.5</w:t>
            </w:r>
          </w:p>
        </w:tc>
        <w:tc>
          <w:tcPr>
            <w:tcW w:w="1512" w:type="dxa"/>
            <w:shd w:val="clear" w:color="auto" w:fill="auto"/>
            <w:vAlign w:val="center"/>
          </w:tcPr>
          <w:p>
            <w:pPr>
              <w:overflowPunct w:val="0"/>
              <w:jc w:val="center"/>
              <w:rPr>
                <w:rFonts w:hint="eastAsia" w:ascii="仿宋_GB2312" w:eastAsia="仿宋_GB2312"/>
                <w:sz w:val="24"/>
                <w:szCs w:val="24"/>
              </w:rPr>
            </w:pPr>
          </w:p>
        </w:tc>
        <w:tc>
          <w:tcPr>
            <w:tcW w:w="895"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restart"/>
            <w:shd w:val="clear" w:color="auto" w:fill="auto"/>
            <w:vAlign w:val="center"/>
          </w:tcPr>
          <w:p>
            <w:pPr>
              <w:overflowPunct w:val="0"/>
              <w:rPr>
                <w:sz w:val="24"/>
                <w:szCs w:val="24"/>
              </w:rPr>
            </w:pPr>
            <w:r>
              <w:rPr>
                <w:rFonts w:hint="eastAsia" w:ascii="仿宋_GB2312" w:eastAsia="仿宋_GB2312"/>
                <w:b/>
                <w:sz w:val="24"/>
                <w:szCs w:val="24"/>
              </w:rPr>
              <w:t>安全保障</w:t>
            </w:r>
          </w:p>
        </w:tc>
        <w:tc>
          <w:tcPr>
            <w:tcW w:w="2929" w:type="dxa"/>
            <w:shd w:val="clear" w:color="auto" w:fill="auto"/>
            <w:vAlign w:val="center"/>
          </w:tcPr>
          <w:p>
            <w:pPr>
              <w:overflowPunct w:val="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lang w:val="en-US" w:eastAsia="zh-CN"/>
              </w:rPr>
              <w:t>1</w:t>
            </w:r>
            <w:r>
              <w:rPr>
                <w:rFonts w:hint="eastAsia" w:ascii="仿宋_GB2312" w:eastAsia="仿宋_GB2312"/>
                <w:sz w:val="24"/>
                <w:szCs w:val="24"/>
              </w:rPr>
              <w:t>.粮食综合生产</w:t>
            </w:r>
            <w:r>
              <w:rPr>
                <w:rFonts w:ascii="仿宋_GB2312" w:eastAsia="仿宋_GB2312"/>
                <w:sz w:val="24"/>
                <w:szCs w:val="24"/>
              </w:rPr>
              <w:t>能力</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万吨</w:t>
            </w:r>
          </w:p>
        </w:tc>
        <w:tc>
          <w:tcPr>
            <w:tcW w:w="911"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134" w:type="dxa"/>
            <w:shd w:val="clear" w:color="auto" w:fill="auto"/>
            <w:vAlign w:val="center"/>
          </w:tcPr>
          <w:p>
            <w:pPr>
              <w:overflowPunct w:val="0"/>
              <w:jc w:val="center"/>
              <w:rPr>
                <w:rFonts w:hint="eastAsia" w:ascii="仿宋_GB2312" w:eastAsia="仿宋_GB2312"/>
                <w:sz w:val="24"/>
                <w:szCs w:val="24"/>
                <w:lang w:eastAsia="zh-CN"/>
              </w:rPr>
            </w:pPr>
            <w:r>
              <w:rPr>
                <w:rFonts w:hint="eastAsia" w:ascii="仿宋_GB2312" w:eastAsia="仿宋_GB2312"/>
                <w:sz w:val="24"/>
                <w:szCs w:val="24"/>
                <w:lang w:eastAsia="zh-CN"/>
              </w:rPr>
              <w:t>-</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完成省下达任务</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8" w:type="dxa"/>
            <w:vMerge w:val="continue"/>
            <w:shd w:val="clear" w:color="auto" w:fill="auto"/>
            <w:vAlign w:val="center"/>
          </w:tcPr>
          <w:p>
            <w:pPr>
              <w:overflowPunct w:val="0"/>
              <w:rPr>
                <w:sz w:val="24"/>
                <w:szCs w:val="24"/>
              </w:rPr>
            </w:pPr>
          </w:p>
        </w:tc>
        <w:tc>
          <w:tcPr>
            <w:tcW w:w="2929" w:type="dxa"/>
            <w:shd w:val="clear" w:color="auto" w:fill="auto"/>
            <w:vAlign w:val="center"/>
          </w:tcPr>
          <w:p>
            <w:pPr>
              <w:overflowPunct w:val="0"/>
              <w:rPr>
                <w:rFonts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val="en-US" w:eastAsia="zh-CN"/>
              </w:rPr>
              <w:t>2</w:t>
            </w:r>
            <w:r>
              <w:rPr>
                <w:rFonts w:hint="eastAsia" w:ascii="仿宋_GB2312" w:eastAsia="仿宋_GB2312"/>
                <w:sz w:val="24"/>
                <w:szCs w:val="24"/>
              </w:rPr>
              <w:t>.能源</w:t>
            </w:r>
            <w:r>
              <w:rPr>
                <w:rFonts w:ascii="仿宋_GB2312" w:eastAsia="仿宋_GB2312"/>
                <w:sz w:val="24"/>
                <w:szCs w:val="24"/>
              </w:rPr>
              <w:t>综合</w:t>
            </w:r>
            <w:r>
              <w:rPr>
                <w:rFonts w:hint="eastAsia" w:ascii="仿宋_GB2312" w:eastAsia="仿宋_GB2312"/>
                <w:sz w:val="24"/>
                <w:szCs w:val="24"/>
              </w:rPr>
              <w:t>生产</w:t>
            </w:r>
            <w:r>
              <w:rPr>
                <w:rFonts w:ascii="仿宋_GB2312" w:eastAsia="仿宋_GB2312"/>
                <w:sz w:val="24"/>
                <w:szCs w:val="24"/>
              </w:rPr>
              <w:t>能力</w:t>
            </w:r>
          </w:p>
        </w:tc>
        <w:tc>
          <w:tcPr>
            <w:tcW w:w="1160"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万吨标准煤</w:t>
            </w:r>
          </w:p>
        </w:tc>
        <w:tc>
          <w:tcPr>
            <w:tcW w:w="911"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134"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w:t>
            </w:r>
          </w:p>
        </w:tc>
        <w:tc>
          <w:tcPr>
            <w:tcW w:w="1512"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完成省下达任务</w:t>
            </w:r>
          </w:p>
        </w:tc>
        <w:tc>
          <w:tcPr>
            <w:tcW w:w="895" w:type="dxa"/>
            <w:shd w:val="clear" w:color="auto" w:fill="auto"/>
            <w:vAlign w:val="center"/>
          </w:tcPr>
          <w:p>
            <w:pPr>
              <w:overflowPunct w:val="0"/>
              <w:jc w:val="center"/>
              <w:rPr>
                <w:rFonts w:ascii="仿宋_GB2312" w:eastAsia="仿宋_GB2312"/>
                <w:sz w:val="24"/>
                <w:szCs w:val="24"/>
              </w:rPr>
            </w:pPr>
            <w:r>
              <w:rPr>
                <w:rFonts w:hint="eastAsia" w:ascii="仿宋_GB2312" w:eastAsia="仿宋_GB2312"/>
                <w:sz w:val="24"/>
                <w:szCs w:val="24"/>
              </w:rPr>
              <w:t>约束性</w:t>
            </w:r>
          </w:p>
        </w:tc>
      </w:tr>
    </w:tbl>
    <w:p>
      <w:pPr>
        <w:autoSpaceDE w:val="0"/>
        <w:autoSpaceDN w:val="0"/>
        <w:adjustRightInd w:val="0"/>
        <w:snapToGrid w:val="0"/>
        <w:spacing w:line="360" w:lineRule="auto"/>
        <w:ind w:firstLine="640" w:firstLineChars="200"/>
        <w:rPr>
          <w:rFonts w:hint="eastAsia" w:ascii="Times New Roman" w:hAnsi="Times New Roman" w:eastAsia="仿宋_GB2312" w:cs="Times New Roman"/>
          <w:kern w:val="0"/>
          <w:sz w:val="32"/>
          <w:szCs w:val="32"/>
        </w:rPr>
      </w:pPr>
    </w:p>
    <w:p>
      <w:pPr>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p>
    <w:p>
      <w:pPr>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p>
    <w:p>
      <w:pPr>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p>
    <w:p>
      <w:pPr>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p>
    <w:p>
      <w:pPr>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p>
    <w:p>
      <w:pPr>
        <w:adjustRightInd w:val="0"/>
        <w:snapToGrid w:val="0"/>
        <w:spacing w:line="360" w:lineRule="auto"/>
        <w:ind w:firstLine="640" w:firstLineChars="200"/>
        <w:rPr>
          <w:rFonts w:ascii="Times New Roman" w:hAnsi="Times New Roman" w:eastAsia="仿宋_GB2312" w:cs="Times New Roman"/>
          <w:kern w:val="0"/>
          <w:sz w:val="32"/>
          <w:szCs w:val="32"/>
        </w:rPr>
      </w:pPr>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lang w:bidi="ar"/>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0"/>
        <w:rPr>
          <w:rFonts w:ascii="Times New Roman" w:hAnsi="Times New Roman" w:eastAsia="黑体" w:cs="Times New Roman"/>
          <w:bCs/>
          <w:kern w:val="44"/>
          <w:sz w:val="32"/>
          <w:szCs w:val="32"/>
        </w:rPr>
      </w:pPr>
      <w:bookmarkStart w:id="14" w:name="_Toc61275566"/>
      <w:r>
        <w:rPr>
          <w:rFonts w:ascii="Times New Roman" w:hAnsi="Times New Roman" w:eastAsia="黑体" w:cs="Times New Roman"/>
          <w:bCs/>
          <w:kern w:val="44"/>
          <w:sz w:val="32"/>
          <w:szCs w:val="32"/>
        </w:rPr>
        <w:t xml:space="preserve">第三章  </w:t>
      </w:r>
      <w:r>
        <w:rPr>
          <w:rFonts w:hint="eastAsia" w:ascii="Times New Roman" w:hAnsi="Times New Roman" w:eastAsia="黑体" w:cs="Times New Roman"/>
          <w:bCs/>
          <w:kern w:val="44"/>
          <w:sz w:val="32"/>
          <w:szCs w:val="32"/>
        </w:rPr>
        <w:t>推进自由贸易港早期政策落地见效，打造海南自贸港建设先行区</w:t>
      </w:r>
      <w:bookmarkEnd w:id="14"/>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lang w:bidi="ar"/>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把制度集成创新摆在突出位置，破除体制机制障碍，积极争取自贸港政策早期安排实现早期收获。围绕贸易投资自由化便利化，打造市场化法治化国际化营商环境，深化重点领域改革，确保海南自贸港先行区建设取得明显成效。</w:t>
      </w:r>
    </w:p>
    <w:p>
      <w:pPr>
        <w:pStyle w:val="4"/>
        <w:keepNext w:val="0"/>
        <w:keepLines w:val="0"/>
        <w:pageBreakBefore w:val="0"/>
        <w:widowControl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15" w:name="_Toc61275567"/>
      <w:r>
        <w:rPr>
          <w:rFonts w:ascii="Times New Roman" w:hAnsi="Times New Roman" w:eastAsia="楷体_GB2312" w:cs="Times New Roman"/>
        </w:rPr>
        <w:t>第一节  积极推进自贸港政策早日落地</w:t>
      </w:r>
      <w:bookmarkEnd w:id="15"/>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探索设立海关特殊监管区域。依托洋浦保税港区，探索在东方临港产业园设立海关特殊监管区域，实行“一线”放开、“二线”管住的进出口管理制度，进行自贸港政策压力测试，探索保税燃油和保税航油等政策运用。依托东方区位和交通优势，用好岛内进口用于营运用交通工具及游艇“零关税”等政策</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加快发展保税仓储、大宗商品交易、跨境电商、国际中转等新业态，建设面向太平洋和印度洋的区域性国际航运物流枢纽。高标准建设八所开放口岸基础设施，</w:t>
      </w:r>
      <w:r>
        <w:rPr>
          <w:rFonts w:hint="eastAsia" w:ascii="Times New Roman" w:hAnsi="Times New Roman" w:eastAsia="仿宋_GB2312" w:cs="Times New Roman"/>
          <w:kern w:val="0"/>
          <w:sz w:val="32"/>
          <w:szCs w:val="32"/>
        </w:rPr>
        <w:t>推动设立保税物流中心。</w:t>
      </w:r>
      <w:r>
        <w:rPr>
          <w:rFonts w:ascii="Times New Roman" w:hAnsi="Times New Roman" w:eastAsia="仿宋_GB2312" w:cs="Times New Roman"/>
          <w:kern w:val="0"/>
          <w:sz w:val="32"/>
          <w:szCs w:val="32"/>
        </w:rPr>
        <w:t>加大信息化系统建设和科技装备投入力度，积极打造国际贸易“单一窗口”，夯实封关基础。</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用好政策红利推动产业超前布局。围绕利用原产地规则、企业进口自用生产设备“零关税”等政策利好，提前谋划、主动出击，择优引进龙头企业超前布局，推动中海油等的重大项目落地，促进油气化工、船舶维修、航空器维修、食品进出口加工等产业加快发展。用好自贸港国际中转监管政策宽松优势，推动发展转口贸易，探索承接“两头在外”的鼓励类制造业项目。充分利用离岛免税购物政策，引进知名企业建设东方免税</w:t>
      </w:r>
      <w:r>
        <w:rPr>
          <w:rFonts w:hint="eastAsia" w:ascii="Times New Roman" w:hAnsi="Times New Roman" w:eastAsia="仿宋_GB2312" w:cs="Times New Roman"/>
          <w:kern w:val="0"/>
          <w:sz w:val="32"/>
          <w:szCs w:val="32"/>
        </w:rPr>
        <w:t>专卖店</w:t>
      </w:r>
      <w:r>
        <w:rPr>
          <w:rFonts w:ascii="Times New Roman" w:hAnsi="Times New Roman" w:eastAsia="仿宋_GB2312" w:cs="Times New Roman"/>
          <w:kern w:val="0"/>
          <w:sz w:val="32"/>
          <w:szCs w:val="32"/>
        </w:rPr>
        <w:t>，增强对周边区域的辐射带动作用，打造琼西南免税购物中心。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积极稳妥推进投资贸易自由便利。落地实施对企业和个人的所得税优惠政策。积极实施市场准入承诺即入制，落实国家和省部署，对具有强制性标准的领域，原则上取消许可和审批，建立健全备案制度。</w:t>
      </w:r>
      <w:r>
        <w:rPr>
          <w:rFonts w:hint="eastAsia" w:ascii="Times New Roman" w:hAnsi="Times New Roman" w:eastAsia="仿宋_GB2312" w:cs="Times New Roman"/>
          <w:kern w:val="0"/>
          <w:sz w:val="32"/>
          <w:szCs w:val="32"/>
        </w:rPr>
        <w:t>实施国际投资“单一窗口”。</w:t>
      </w:r>
      <w:r>
        <w:rPr>
          <w:rFonts w:ascii="Times New Roman" w:hAnsi="Times New Roman" w:eastAsia="仿宋_GB2312" w:cs="Times New Roman"/>
          <w:kern w:val="0"/>
          <w:sz w:val="32"/>
          <w:szCs w:val="32"/>
        </w:rPr>
        <w:t>尽快实施以过程监管为重点的投资便利制度，建立健全以电子证照为主的设立便利，以“有事必应”“无事不扰”为主的经营便利，以公告承诺和优化程序为主的注销便利，以尽职履责为主的破产便利等政策制度。</w:t>
      </w:r>
      <w:r>
        <w:rPr>
          <w:rFonts w:hint="eastAsia" w:ascii="Times New Roman" w:hAnsi="Times New Roman" w:eastAsia="仿宋_GB2312" w:cs="Times New Roman"/>
          <w:kern w:val="0"/>
          <w:sz w:val="32"/>
          <w:szCs w:val="32"/>
        </w:rPr>
        <w:t>全面推进货物贸易零关税和服务贸易“既准入又准营”的制度创新。全面落实进口商品“一负三正”清单零关税政策</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落实口岸降费提效措施，创新贸易综合监管模式。深化财政金融等领域制度集成创新，推进跨境资金流动自由便利。</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用好政策吸引跨境旅游和人才自由流动</w:t>
      </w:r>
      <w:r>
        <w:rPr>
          <w:rFonts w:ascii="Times New Roman" w:hAnsi="Times New Roman" w:eastAsia="仿宋_GB2312" w:cs="Times New Roman"/>
          <w:kern w:val="0"/>
          <w:sz w:val="32"/>
          <w:szCs w:val="32"/>
        </w:rPr>
        <w:t>。充分发挥入境免签政策优势，积极推动八所港与越南广宁省下龙市盖临港建立航线合作，承接面向东南亚的旅游项目，探索开发中越跨境自驾游等旅游项目，吸引更多外国旅游团入境旅游消费。对外籍高层次人才投资创业、讲学交流、经贸活动方面提供出入境便利。允许符合条件的境外人员担任东方法定机构、事业单位、国有企业的法定代表人。建立健全人才服务管理制度，优化人才服务中心，实现工作许可、签证与居留信息共享和联审联检，为人才提供工作就业、教育生活、医疗卫生等全方位服务。</w:t>
      </w:r>
    </w:p>
    <w:p>
      <w:pPr>
        <w:pStyle w:val="4"/>
        <w:keepNext w:val="0"/>
        <w:keepLines w:val="0"/>
        <w:pageBreakBefore w:val="0"/>
        <w:widowControl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16" w:name="_Toc61275568"/>
      <w:r>
        <w:rPr>
          <w:rFonts w:hint="eastAsia" w:ascii="Times New Roman" w:hAnsi="Times New Roman" w:eastAsia="楷体_GB2312" w:cs="Times New Roman"/>
        </w:rPr>
        <w:t>第二节  推进临港产业园创新发展</w:t>
      </w:r>
      <w:bookmarkEnd w:id="16"/>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全面完善临港产业园基础设施和公共服务平台。</w:t>
      </w:r>
      <w:r>
        <w:rPr>
          <w:rFonts w:ascii="Times New Roman" w:hAnsi="Times New Roman" w:eastAsia="仿宋_GB2312" w:cs="Times New Roman"/>
          <w:kern w:val="0"/>
          <w:sz w:val="32"/>
          <w:szCs w:val="32"/>
        </w:rPr>
        <w:t>发挥天然气原材料供应优势，鼓励天然气化工企业或第三方投资者在园区内积极发展天然气冷热电三联供分布式能源系统，满足园区生产电力需求。有效应用智能电网技术，大幅度提高产业园区的供电能力和可靠性，形成智能、高效、可靠、绿色的电网。加速优化</w:t>
      </w:r>
      <w:r>
        <w:rPr>
          <w:rFonts w:hint="eastAsia" w:ascii="Times New Roman" w:hAnsi="Times New Roman" w:eastAsia="仿宋_GB2312" w:cs="Times New Roman"/>
          <w:kern w:val="0"/>
          <w:sz w:val="32"/>
          <w:szCs w:val="32"/>
        </w:rPr>
        <w:t>电</w:t>
      </w:r>
      <w:r>
        <w:rPr>
          <w:rFonts w:ascii="Times New Roman" w:hAnsi="Times New Roman" w:eastAsia="仿宋_GB2312" w:cs="Times New Roman"/>
          <w:kern w:val="0"/>
          <w:sz w:val="32"/>
          <w:szCs w:val="32"/>
        </w:rPr>
        <w:t>网建设的规划征地、报建、施工等手续，重点解决电网项目穿越铁路、电力线路树障等问题。加快完善临港产业园区的道路、环保、供水、消防、通信、公交、商贸、教育、医疗、文化、体育、娱乐等基础设施，以及金融、科技、物流、信息服务、质量检测等公共服务平台，保障企业生产建设需求和员工生活需求。</w:t>
      </w:r>
      <w:r>
        <w:rPr>
          <w:rFonts w:hint="eastAsia" w:ascii="Times New Roman" w:hAnsi="Times New Roman" w:eastAsia="仿宋_GB2312" w:cs="Times New Roman"/>
          <w:kern w:val="0"/>
          <w:sz w:val="32"/>
          <w:szCs w:val="32"/>
        </w:rPr>
        <w:t>加快探索投融资体制改革，积极应用中长期企业债券、股权融资，拓宽基础设施和公共服务平台建设融资渠道。</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outlineLvl w:val="9"/>
      </w:pPr>
      <w:r>
        <w:rPr>
          <w:rFonts w:hint="eastAsia" w:ascii="Times New Roman" w:hAnsi="Times New Roman" w:eastAsia="仿宋_GB2312" w:cs="Times New Roman"/>
          <w:kern w:val="0"/>
          <w:sz w:val="32"/>
          <w:szCs w:val="32"/>
        </w:rPr>
        <w:t>强化园区高新技术产业载体功能。以发展高新技术产业为重点，健全园区综合考核评价和激励机制，将临港产业园区打造成为海南自贸港的重要高新技术产业集聚区。引导资本聚焦高新技术产业，延长产业链、完善供应链，积极推动油气化工向精细化工和新材料方向延伸，实现海洋生物制品、新能源汽车、绿色环保等高新技术产业集聚发展，推进新型工业化。促进海洋装备制造、进出口加工等产业加快发展，充分利用加工增值30%的关税政策优势，积极引进“两头在外”的鼓励类制造业项目。引进知名航运企业开通海上物流通道，加强跨境服务贸易创新，积极扩大航运、物流、金融、信息等服务贸易规模，打造服务贸易新高地。</w:t>
      </w:r>
      <w:r>
        <w:rPr>
          <w:rFonts w:hint="eastAsia" w:ascii="Times New Roman" w:hAnsi="Times New Roman" w:eastAsia="仿宋_GB2312" w:cs="Times New Roman"/>
          <w:kern w:val="0"/>
          <w:sz w:val="32"/>
          <w:szCs w:val="32"/>
          <w:lang w:val="en-US" w:eastAsia="zh-CN"/>
        </w:rPr>
        <w:t xml:space="preserve"> </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vAlign w:val="top"/>
          </w:tcPr>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bCs/>
                <w:sz w:val="28"/>
                <w:szCs w:val="28"/>
              </w:rPr>
            </w:pPr>
            <w:r>
              <w:rPr>
                <w:rFonts w:hint="eastAsia" w:ascii="黑体" w:hAnsi="黑体" w:eastAsia="黑体"/>
                <w:bCs/>
                <w:sz w:val="28"/>
                <w:szCs w:val="28"/>
              </w:rPr>
              <w:t>专栏2  临港产业园能源基础设施建设项目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bCs w:val="0"/>
                <w:kern w:val="2"/>
                <w:sz w:val="28"/>
                <w:szCs w:val="28"/>
                <w:lang w:eastAsia="zh-CN"/>
              </w:rPr>
              <w:t>（一）</w:t>
            </w:r>
            <w:r>
              <w:rPr>
                <w:rFonts w:hint="eastAsia" w:ascii="楷体_GB2312" w:eastAsia="楷体_GB2312" w:hAnsiTheme="minorHAnsi" w:cstheme="minorBidi"/>
                <w:b/>
                <w:kern w:val="2"/>
                <w:sz w:val="28"/>
                <w:szCs w:val="28"/>
              </w:rPr>
              <w:t>能源供应网络类项目：</w:t>
            </w:r>
            <w:r>
              <w:rPr>
                <w:rFonts w:hint="eastAsia" w:ascii="仿宋_GB2312" w:hAnsi="仿宋_GB2312" w:eastAsia="仿宋_GB2312" w:cs="仿宋_GB2312"/>
                <w:b w:val="0"/>
                <w:bCs/>
                <w:kern w:val="2"/>
                <w:sz w:val="28"/>
                <w:szCs w:val="28"/>
              </w:rPr>
              <w:t>220kV、3x180MVA那悦变电站建设项目、10kV中压配电网络建设项目</w:t>
            </w:r>
            <w:r>
              <w:rPr>
                <w:rFonts w:hint="eastAsia" w:ascii="仿宋_GB2312" w:hAnsi="仿宋_GB2312" w:eastAsia="仿宋_GB2312" w:cs="仿宋_GB2312"/>
                <w:b w:val="0"/>
                <w:bCs/>
                <w:kern w:val="2"/>
                <w:sz w:val="28"/>
                <w:szCs w:val="28"/>
                <w:lang w:eastAsia="zh-CN"/>
              </w:rPr>
              <w:t>等</w:t>
            </w:r>
            <w:r>
              <w:rPr>
                <w:rFonts w:hint="eastAsia" w:ascii="仿宋_GB2312" w:hAnsi="仿宋_GB2312" w:eastAsia="仿宋_GB2312" w:cs="仿宋_GB2312"/>
                <w:b w:val="0"/>
                <w:bCs/>
                <w:kern w:val="2"/>
                <w:sz w:val="28"/>
                <w:szCs w:val="28"/>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562" w:firstLineChars="200"/>
              <w:jc w:val="both"/>
              <w:textAlignment w:val="auto"/>
              <w:outlineLvl w:val="9"/>
              <w:rPr>
                <w:rFonts w:ascii="Times New Roman" w:hAnsi="Times New Roman" w:eastAsia="楷体_GB2312" w:cs="Times New Roman"/>
                <w:kern w:val="0"/>
                <w:sz w:val="24"/>
                <w:szCs w:val="24"/>
              </w:rPr>
            </w:pPr>
            <w:r>
              <w:rPr>
                <w:rFonts w:hint="eastAsia" w:ascii="楷体_GB2312" w:eastAsia="楷体_GB2312" w:hAnsiTheme="minorHAnsi" w:cstheme="minorBidi"/>
                <w:b/>
                <w:bCs w:val="0"/>
                <w:kern w:val="2"/>
                <w:sz w:val="28"/>
                <w:szCs w:val="28"/>
                <w:lang w:eastAsia="zh-CN"/>
              </w:rPr>
              <w:t>（二）</w:t>
            </w:r>
            <w:r>
              <w:rPr>
                <w:rFonts w:hint="eastAsia" w:ascii="楷体_GB2312" w:eastAsia="楷体_GB2312" w:hAnsiTheme="minorHAnsi" w:cstheme="minorBidi"/>
                <w:b/>
                <w:bCs w:val="0"/>
                <w:kern w:val="2"/>
                <w:sz w:val="28"/>
                <w:szCs w:val="28"/>
              </w:rPr>
              <w:t>能源生产</w:t>
            </w:r>
            <w:r>
              <w:rPr>
                <w:rFonts w:hint="eastAsia" w:ascii="楷体_GB2312" w:eastAsia="楷体_GB2312" w:hAnsiTheme="minorHAnsi" w:cstheme="minorBidi"/>
                <w:b/>
                <w:bCs w:val="0"/>
                <w:kern w:val="2"/>
                <w:sz w:val="28"/>
                <w:szCs w:val="28"/>
                <w:lang w:eastAsia="zh-CN"/>
              </w:rPr>
              <w:t>储备</w:t>
            </w:r>
            <w:r>
              <w:rPr>
                <w:rFonts w:hint="eastAsia" w:ascii="楷体_GB2312" w:eastAsia="楷体_GB2312" w:hAnsiTheme="minorHAnsi" w:cstheme="minorBidi"/>
                <w:b/>
                <w:bCs w:val="0"/>
                <w:kern w:val="2"/>
                <w:sz w:val="28"/>
                <w:szCs w:val="28"/>
              </w:rPr>
              <w:t>类项目：</w:t>
            </w:r>
            <w:r>
              <w:rPr>
                <w:rFonts w:hint="eastAsia" w:ascii="仿宋_GB2312" w:hAnsi="仿宋_GB2312" w:eastAsia="仿宋_GB2312" w:cs="仿宋_GB2312"/>
                <w:b w:val="0"/>
                <w:bCs/>
                <w:kern w:val="2"/>
                <w:sz w:val="28"/>
                <w:szCs w:val="28"/>
              </w:rPr>
              <w:t>凯润（东方）天然气冷热电三联供分布式能源项目、光伏分布式发电项目</w:t>
            </w:r>
            <w:r>
              <w:rPr>
                <w:rFonts w:hint="eastAsia" w:ascii="仿宋_GB2312" w:hAnsi="仿宋_GB2312" w:eastAsia="仿宋_GB2312" w:cs="仿宋_GB2312"/>
                <w:b w:val="0"/>
                <w:bCs/>
                <w:kern w:val="2"/>
                <w:sz w:val="28"/>
                <w:szCs w:val="28"/>
                <w:lang w:eastAsia="zh-CN"/>
              </w:rPr>
              <w:t>、东方成品油储备库等</w:t>
            </w:r>
            <w:r>
              <w:rPr>
                <w:rFonts w:hint="eastAsia" w:ascii="仿宋_GB2312" w:hAnsi="仿宋_GB2312" w:eastAsia="仿宋_GB2312" w:cs="仿宋_GB2312"/>
                <w:b w:val="0"/>
                <w:bCs/>
                <w:kern w:val="2"/>
                <w:sz w:val="28"/>
                <w:szCs w:val="28"/>
              </w:rPr>
              <w:t>。</w:t>
            </w:r>
          </w:p>
        </w:tc>
      </w:tr>
    </w:tbl>
    <w:p>
      <w:pPr>
        <w:pStyle w:val="4"/>
        <w:keepNext w:val="0"/>
        <w:keepLines w:val="0"/>
        <w:pageBreakBefore w:val="0"/>
        <w:widowControl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17" w:name="_Toc61275569"/>
      <w:r>
        <w:rPr>
          <w:rFonts w:hint="eastAsia" w:ascii="Times New Roman" w:hAnsi="Times New Roman" w:eastAsia="楷体_GB2312" w:cs="Times New Roman"/>
        </w:rPr>
        <w:t>第三节  打造一流营商环境</w:t>
      </w:r>
      <w:bookmarkEnd w:id="17"/>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提升和改善政务服务。增强一体化在线政务服务平台功能，推行政务服务“好差评”、结果与绩效挂钩机制。加强涉外执法程序和能力建设，完善执法规范化建设，</w:t>
      </w:r>
      <w:r>
        <w:rPr>
          <w:rFonts w:hint="eastAsia" w:ascii="Times New Roman" w:hAnsi="Times New Roman" w:eastAsia="仿宋_GB2312" w:cs="Times New Roman"/>
          <w:kern w:val="0"/>
          <w:sz w:val="32"/>
          <w:szCs w:val="32"/>
          <w:lang w:eastAsia="zh-CN"/>
        </w:rPr>
        <w:t>规范行使</w:t>
      </w:r>
      <w:r>
        <w:rPr>
          <w:rFonts w:hint="eastAsia" w:ascii="Times New Roman" w:hAnsi="Times New Roman" w:eastAsia="仿宋_GB2312" w:cs="Times New Roman"/>
          <w:kern w:val="0"/>
          <w:sz w:val="32"/>
          <w:szCs w:val="32"/>
        </w:rPr>
        <w:t>自由裁量权，加强执法的透明性、程序性和公正性。加强服务型政府建设，实施政府执行力提升工程，营造“亲而有度、清而有为”的新型政商关系，当好服务企业的“店小二”。健全各类市场主体评价反馈机制。扎实推进政务服务标准化、规范化、便利化、公开化，提高政府管理服务水平，深化“一枚印章管审批”改革，全面推行“极简审批”制度。增强一体化在线政务服务平台功能，大力推行“不见面审批”“一窗受理”“一网通办”改革，</w:t>
      </w:r>
      <w:r>
        <w:rPr>
          <w:rFonts w:ascii="Times New Roman" w:hAnsi="Times New Roman" w:eastAsia="仿宋_GB2312" w:cs="Times New Roman"/>
          <w:kern w:val="0"/>
          <w:sz w:val="32"/>
          <w:szCs w:val="32"/>
        </w:rPr>
        <w:t>围绕企业和群众“一件事一次办”进行流程再造</w:t>
      </w:r>
      <w:r>
        <w:rPr>
          <w:rFonts w:hint="eastAsia"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续优化市场环境。保障各类市场主体的合法经营所得、自主经营权、知识产权和公平竞争等合法权益。严厉打击经营活动中的非法行为和一切扰乱社会经济秩序的黑恶势力，加强反垄断执法，维护公平竞争的市场秩序。严格落实海南自贸港税收制度，规范涉企收费行为，有效降低企业制度性交易成本。强化竞争政策基础性地位，清理废除妨碍统一市场和公平竞争的各种规定和做法，落实公平竞争审查制度。依托油气化工、热带高效农业、通用航空等特色产业，精准引进产业人才及其团队，打造人才发展与产业发展之间良性互动格局，培育高素质的现代产业工人队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健全社会信用体系。完善守信联合激励和失信联合惩戒机制，扩大信用信息共享开放。依托信用信息共享平台，构建公共资源交易领域和行政审批“一张网”，实施失信惩戒。构建公共信用产品体系。建立健全公共信用信息共享交换体系，实现公共信用信息归集全覆盖。</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p>
    <w:p>
      <w:pPr>
        <w:pStyle w:val="4"/>
        <w:keepNext w:val="0"/>
        <w:keepLines w:val="0"/>
        <w:pageBreakBefore w:val="0"/>
        <w:widowControl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18" w:name="_Toc61275570"/>
      <w:r>
        <w:rPr>
          <w:rFonts w:ascii="Times New Roman" w:hAnsi="Times New Roman" w:eastAsia="楷体_GB2312" w:cs="Times New Roman"/>
        </w:rPr>
        <w:t>第</w:t>
      </w:r>
      <w:r>
        <w:rPr>
          <w:rFonts w:hint="eastAsia" w:ascii="Times New Roman" w:hAnsi="Times New Roman" w:eastAsia="楷体_GB2312" w:cs="Times New Roman"/>
        </w:rPr>
        <w:t>四</w:t>
      </w:r>
      <w:r>
        <w:rPr>
          <w:rFonts w:ascii="Times New Roman" w:hAnsi="Times New Roman" w:eastAsia="楷体_GB2312" w:cs="Times New Roman"/>
        </w:rPr>
        <w:t>节  持续深化重点领域改革</w:t>
      </w:r>
      <w:bookmarkEnd w:id="18"/>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rPr>
        <w:t>继续深化“多规合一”改革</w:t>
      </w:r>
      <w:r>
        <w:rPr>
          <w:rFonts w:hint="eastAsia" w:ascii="Times New Roman" w:hAnsi="Times New Roman" w:eastAsia="仿宋_GB2312" w:cs="Times New Roman"/>
          <w:kern w:val="0"/>
          <w:sz w:val="32"/>
          <w:szCs w:val="32"/>
        </w:rPr>
        <w:t>，完成市级国土空间规划编制，</w:t>
      </w:r>
      <w:r>
        <w:rPr>
          <w:rFonts w:ascii="Times New Roman" w:hAnsi="Times New Roman" w:eastAsia="仿宋_GB2312" w:cs="Times New Roman"/>
          <w:kern w:val="0"/>
          <w:sz w:val="32"/>
          <w:szCs w:val="32"/>
        </w:rPr>
        <w:t>加强经济社会发展规划、国土空间规划、产业发展规划、基础设施建设规划等各类规划衔接，完善城镇、旅游度假区、产业园区等各类开发边界内总体规划和控制性详细规划，进一步优化国土空间布局和功能定位，完善全市建设发展的“一张蓝图”。坚持村庄规划“看得懂、管得住、好实施”的原则，推行驻村规划师和开门编制规划制度，开展市域村庄布点分类，高质量编制全市行政村规划。探索推进城区不动产统一登记，妥善解决城区违建历史遗留问题。</w:t>
      </w:r>
      <w:r>
        <w:rPr>
          <w:rFonts w:hint="eastAsia" w:ascii="Times New Roman" w:hAnsi="Times New Roman" w:eastAsia="仿宋_GB2312" w:cs="Times New Roman"/>
          <w:kern w:val="0"/>
          <w:sz w:val="32"/>
          <w:szCs w:val="32"/>
        </w:rPr>
        <w:t>提前做好土地收储工作，</w:t>
      </w:r>
      <w:r>
        <w:rPr>
          <w:rFonts w:ascii="Times New Roman" w:hAnsi="Times New Roman" w:eastAsia="仿宋_GB2312" w:cs="Times New Roman"/>
          <w:kern w:val="0"/>
          <w:sz w:val="32"/>
          <w:szCs w:val="32"/>
        </w:rPr>
        <w:t>深入实施“只征不转、只转不征、不征不转”“先租后让、租让结合”和点状供地、弹性年期等灵活用地政策，变“项目等土地”为“土地等项目”。科学合理校核优化生态保护红线、基本农田、城镇开发边界等，建立集约节约用地制度、评价标准以及存量建设用地盘活处置政策体系。</w:t>
      </w:r>
      <w:r>
        <w:rPr>
          <w:rFonts w:hint="eastAsia" w:ascii="Times New Roman" w:hAnsi="Times New Roman" w:eastAsia="仿宋_GB2312" w:cs="Times New Roman"/>
          <w:kern w:val="0"/>
          <w:sz w:val="32"/>
          <w:szCs w:val="32"/>
        </w:rPr>
        <w:t>着力加强司法保障，加快法律服务体系建设，深入推进普法依法治理。</w:t>
      </w:r>
      <w:r>
        <w:rPr>
          <w:rFonts w:ascii="Times New Roman" w:hAnsi="Times New Roman" w:eastAsia="仿宋_GB2312" w:cs="Times New Roman"/>
          <w:kern w:val="0"/>
          <w:sz w:val="32"/>
          <w:szCs w:val="32"/>
        </w:rPr>
        <w:t>推进综合行政执法改革，实行“一支队伍管执法”，不断提升综合执法水平。推进强镇扩权改革，优化乡镇机构设置，增加乡镇人员编制，分批下放行政许可事项和公共服务事项，赋予其更大的经济社会发展权限。</w:t>
      </w:r>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0"/>
        <w:rPr>
          <w:rFonts w:ascii="Times New Roman" w:hAnsi="Times New Roman" w:eastAsia="黑体" w:cs="Times New Roman"/>
          <w:bCs/>
          <w:kern w:val="44"/>
          <w:sz w:val="32"/>
          <w:szCs w:val="32"/>
        </w:rPr>
      </w:pPr>
      <w:bookmarkStart w:id="19" w:name="_Toc61275571"/>
      <w:r>
        <w:rPr>
          <w:rFonts w:ascii="Times New Roman" w:hAnsi="Times New Roman" w:eastAsia="黑体" w:cs="Times New Roman"/>
          <w:bCs/>
          <w:kern w:val="44"/>
          <w:sz w:val="32"/>
          <w:szCs w:val="32"/>
        </w:rPr>
        <w:t xml:space="preserve">第四章  </w:t>
      </w:r>
      <w:r>
        <w:rPr>
          <w:rFonts w:hint="eastAsia" w:ascii="Times New Roman" w:hAnsi="Times New Roman" w:eastAsia="黑体" w:cs="Times New Roman"/>
          <w:bCs/>
          <w:kern w:val="44"/>
          <w:sz w:val="32"/>
          <w:szCs w:val="32"/>
        </w:rPr>
        <w:t>加快农业农村现代化，建设国家农业绿色发展先行区</w:t>
      </w:r>
      <w:bookmarkEnd w:id="19"/>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1"/>
        <w:textAlignment w:val="auto"/>
      </w:pPr>
      <w:r>
        <w:rPr>
          <w:rFonts w:hint="eastAsia" w:ascii="Times New Roman" w:hAnsi="Times New Roman" w:eastAsia="仿宋_GB2312" w:cs="Times New Roman"/>
          <w:kern w:val="0"/>
          <w:sz w:val="32"/>
          <w:szCs w:val="32"/>
        </w:rPr>
        <w:t>坚持规模化、标准化、品牌化建设，推进国家农业绿色发展先行区建设，打造热带特色高效农业王牌。巩固拓展脱贫攻坚成果，全面推进乡村振兴，促进农业农村现代化。</w:t>
      </w:r>
    </w:p>
    <w:p>
      <w:pPr>
        <w:pStyle w:val="4"/>
        <w:keepNext w:val="0"/>
        <w:keepLines w:val="0"/>
        <w:pageBreakBefore w:val="0"/>
        <w:widowControl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20" w:name="_Toc61275572"/>
      <w:r>
        <w:rPr>
          <w:rFonts w:ascii="Times New Roman" w:hAnsi="Times New Roman" w:eastAsia="楷体_GB2312" w:cs="Times New Roman"/>
        </w:rPr>
        <w:t>第一节</w:t>
      </w:r>
      <w:r>
        <w:rPr>
          <w:rFonts w:hint="eastAsia" w:ascii="Times New Roman" w:hAnsi="Times New Roman" w:eastAsia="楷体_GB2312" w:cs="Times New Roman"/>
        </w:rPr>
        <w:t xml:space="preserve">  做优做强热带特色高效农业</w:t>
      </w:r>
      <w:bookmarkEnd w:id="20"/>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1"/>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调整优化农业产业结构。深入实施藏粮于地、藏粮于技战略，加强粮食生产功能区和重要农产品保护区建设，提升耕地地力水平，构建科学合理、安全高效的重要农产品供给保障体系，提高重要农产品有效供给水平。立足百万亩感恩平原资源优势，调优产业结构，调精品种结构，构建具有东方特色的现代农业产业体系。大力发展热带水果、花卉等特色种植业，推进冬季瓜菜提质增效，推进畜、禽、水产养殖业转型升级，促进农业高质高效。打造火龙果、哈密瓜、百香果、芒果、黄花梨、热带花卉、</w:t>
      </w:r>
      <w:r>
        <w:rPr>
          <w:rFonts w:hint="eastAsia" w:ascii="Times New Roman" w:hAnsi="Times New Roman" w:eastAsia="仿宋_GB2312" w:cs="Times New Roman"/>
          <w:kern w:val="0"/>
          <w:sz w:val="32"/>
          <w:szCs w:val="32"/>
          <w:lang w:eastAsia="zh-CN"/>
        </w:rPr>
        <w:t>鳄鱼养殖、南美对虾及石斑鱼繁育</w:t>
      </w:r>
      <w:r>
        <w:rPr>
          <w:rFonts w:hint="eastAsia" w:ascii="Times New Roman" w:hAnsi="Times New Roman" w:eastAsia="仿宋_GB2312" w:cs="Times New Roman"/>
          <w:kern w:val="0"/>
          <w:sz w:val="32"/>
          <w:szCs w:val="32"/>
        </w:rPr>
        <w:t>等国家热带现代农业基地和现代渔业产业园区。加强防疫检疫机制建设，健全动物疫病防控体系。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推进农业规模化</w:t>
      </w:r>
      <w:r>
        <w:rPr>
          <w:rFonts w:hint="eastAsia" w:ascii="Times New Roman" w:hAnsi="Times New Roman" w:eastAsia="仿宋_GB2312" w:cs="Times New Roman"/>
          <w:kern w:val="0"/>
          <w:sz w:val="32"/>
          <w:szCs w:val="32"/>
        </w:rPr>
        <w:t>经营</w:t>
      </w:r>
      <w:r>
        <w:rPr>
          <w:rFonts w:ascii="Times New Roman" w:hAnsi="Times New Roman" w:eastAsia="仿宋_GB2312" w:cs="Times New Roman"/>
          <w:kern w:val="0"/>
          <w:sz w:val="32"/>
          <w:szCs w:val="32"/>
        </w:rPr>
        <w:t>。支持家庭农场、农民专业合作社和农业企业等新型农业经营主体整合当地的土地、人力、营销等资源，推动农产品产业化、规模化生产。鼓励企业在具有产业规模和基础的区域建设农业种植园区和养殖场，进行规模化经营。</w:t>
      </w:r>
      <w:r>
        <w:rPr>
          <w:rFonts w:hint="eastAsia" w:ascii="Times New Roman" w:hAnsi="Times New Roman" w:eastAsia="仿宋_GB2312" w:cs="Times New Roman"/>
          <w:kern w:val="0"/>
          <w:sz w:val="32"/>
          <w:szCs w:val="32"/>
        </w:rPr>
        <w:t>引进国内大型“粮变粉、果变汁、鱼变干”等加工企业，</w:t>
      </w:r>
      <w:r>
        <w:rPr>
          <w:rFonts w:ascii="Times New Roman" w:hAnsi="Times New Roman" w:eastAsia="仿宋_GB2312" w:cs="Times New Roman"/>
          <w:kern w:val="0"/>
          <w:sz w:val="32"/>
          <w:szCs w:val="32"/>
        </w:rPr>
        <w:t>大力发展农产品产地初加工建设</w:t>
      </w:r>
      <w:r>
        <w:rPr>
          <w:rFonts w:hint="eastAsia" w:ascii="Times New Roman" w:hAnsi="Times New Roman" w:eastAsia="仿宋_GB2312" w:cs="Times New Roman"/>
          <w:kern w:val="0"/>
          <w:sz w:val="32"/>
          <w:szCs w:val="32"/>
        </w:rPr>
        <w:t>，提升农产品</w:t>
      </w:r>
      <w:r>
        <w:rPr>
          <w:rFonts w:ascii="Times New Roman" w:hAnsi="Times New Roman" w:eastAsia="仿宋_GB2312" w:cs="Times New Roman"/>
          <w:kern w:val="0"/>
          <w:sz w:val="32"/>
          <w:szCs w:val="32"/>
        </w:rPr>
        <w:t>加工转化水平</w:t>
      </w:r>
      <w:r>
        <w:rPr>
          <w:rFonts w:hint="eastAsia" w:ascii="Times New Roman" w:hAnsi="Times New Roman" w:eastAsia="仿宋_GB2312" w:cs="Times New Roman"/>
          <w:kern w:val="0"/>
          <w:sz w:val="32"/>
          <w:szCs w:val="32"/>
        </w:rPr>
        <w:t>。建设衔接大型农业生产基地、中心渔港以及农产品批发市场的冷链物流基础设施，培育发展农产品产地交易市场、集散中心。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加快农业标准化</w:t>
      </w:r>
      <w:r>
        <w:rPr>
          <w:rFonts w:hint="eastAsia" w:ascii="Times New Roman" w:hAnsi="Times New Roman" w:eastAsia="仿宋_GB2312" w:cs="Times New Roman"/>
          <w:kern w:val="0"/>
          <w:sz w:val="32"/>
          <w:szCs w:val="32"/>
        </w:rPr>
        <w:t>生产</w:t>
      </w:r>
      <w:r>
        <w:rPr>
          <w:rFonts w:ascii="Times New Roman" w:hAnsi="Times New Roman" w:eastAsia="仿宋_GB2312" w:cs="Times New Roman"/>
          <w:kern w:val="0"/>
          <w:sz w:val="32"/>
          <w:szCs w:val="32"/>
        </w:rPr>
        <w:t>。推广应用农业标准化生产技术，打造一批标准化生产基地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强化农业生产过程环境监测，</w:t>
      </w:r>
      <w:r>
        <w:rPr>
          <w:rFonts w:hint="eastAsia" w:ascii="Times New Roman" w:hAnsi="Times New Roman" w:eastAsia="仿宋_GB2312" w:cs="Times New Roman"/>
          <w:kern w:val="0"/>
          <w:sz w:val="32"/>
          <w:szCs w:val="32"/>
        </w:rPr>
        <w:t>发展全程可控农业，确保生产的产品达到绿色有机标准，</w:t>
      </w:r>
      <w:r>
        <w:rPr>
          <w:rFonts w:ascii="Times New Roman" w:hAnsi="Times New Roman" w:eastAsia="仿宋_GB2312" w:cs="Times New Roman"/>
          <w:kern w:val="0"/>
          <w:sz w:val="32"/>
          <w:szCs w:val="32"/>
        </w:rPr>
        <w:t>提升标准化基地档次、规模与示范带动</w:t>
      </w:r>
      <w:r>
        <w:rPr>
          <w:rFonts w:hint="eastAsia" w:ascii="Times New Roman" w:hAnsi="Times New Roman" w:eastAsia="仿宋_GB2312" w:cs="Times New Roman"/>
          <w:kern w:val="0"/>
          <w:sz w:val="32"/>
          <w:szCs w:val="32"/>
        </w:rPr>
        <w:t>作用</w:t>
      </w:r>
      <w:r>
        <w:rPr>
          <w:rFonts w:ascii="Times New Roman" w:hAnsi="Times New Roman" w:eastAsia="仿宋_GB2312" w:cs="Times New Roman"/>
          <w:kern w:val="0"/>
          <w:sz w:val="32"/>
          <w:szCs w:val="32"/>
        </w:rPr>
        <w:t>。在重点产区集中打造一批生态良好、技术成熟、标准化生产的绿色有机农产品生产基地，使之成为优质安全农产品供给的示范窗口。依托优势特色农产品，组织编制农业地方标准和生产技术规范。</w:t>
      </w:r>
      <w:r>
        <w:rPr>
          <w:rFonts w:hint="eastAsia" w:ascii="Times New Roman" w:hAnsi="Times New Roman" w:eastAsia="仿宋_GB2312" w:cs="Times New Roman"/>
          <w:kern w:val="0"/>
          <w:sz w:val="32"/>
          <w:szCs w:val="32"/>
        </w:rPr>
        <w:t>对标国际国内高端市场准入标准，打造标准化农产品直供基地。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大力开展农产品品牌建设。</w:t>
      </w:r>
      <w:r>
        <w:rPr>
          <w:rFonts w:hint="eastAsia" w:ascii="Times New Roman" w:hAnsi="Times New Roman" w:eastAsia="仿宋_GB2312" w:cs="Times New Roman"/>
          <w:kern w:val="0"/>
          <w:sz w:val="32"/>
          <w:szCs w:val="32"/>
        </w:rPr>
        <w:t>支持</w:t>
      </w:r>
      <w:r>
        <w:rPr>
          <w:rFonts w:hint="eastAsia" w:ascii="Times New Roman" w:hAnsi="Times New Roman" w:eastAsia="仿宋_GB2312" w:cs="Times New Roman"/>
          <w:kern w:val="0"/>
          <w:sz w:val="32"/>
          <w:szCs w:val="32"/>
          <w:lang w:eastAsia="zh-CN"/>
        </w:rPr>
        <w:t>开展火龙果、黑山羊、四更地瓜、甜玉米、绿橙、花卉等</w:t>
      </w:r>
      <w:r>
        <w:rPr>
          <w:rFonts w:hint="eastAsia" w:ascii="Times New Roman" w:hAnsi="Times New Roman" w:eastAsia="仿宋_GB2312" w:cs="Times New Roman"/>
          <w:kern w:val="0"/>
          <w:sz w:val="32"/>
          <w:szCs w:val="32"/>
        </w:rPr>
        <w:t>“两品一标”的培育、认证，全方位、多层面、多角度提升东方农业品牌的整体形象，进一步打响热带农业区域公共品牌。</w:t>
      </w:r>
      <w:r>
        <w:rPr>
          <w:rFonts w:ascii="Times New Roman" w:hAnsi="Times New Roman" w:eastAsia="仿宋_GB2312" w:cs="Times New Roman"/>
          <w:kern w:val="0"/>
          <w:sz w:val="32"/>
          <w:szCs w:val="32"/>
        </w:rPr>
        <w:t>鼓励农业经营主体注册农产品商标，对农业经营主体通过农产品质量认证、通过农产品品牌认证的，适当给予奖励。做好品牌宣传推介，借助农产品博览会、展销会等渠道，充分利用电商、“互联网+”等新兴手段，加强品牌市场营销。</w:t>
      </w:r>
      <w:r>
        <w:rPr>
          <w:rFonts w:hint="eastAsia" w:ascii="Times New Roman" w:hAnsi="Times New Roman" w:eastAsia="仿宋_GB2312" w:cs="Times New Roman"/>
          <w:kern w:val="0"/>
          <w:sz w:val="32"/>
          <w:szCs w:val="32"/>
        </w:rPr>
        <w:t>建立一批以生态型、品牌化为导向的热带特色农产品优势区，推动一二三产融合发展，创建农业现代化示范区，打造</w:t>
      </w:r>
      <w:r>
        <w:rPr>
          <w:rFonts w:hint="eastAsia" w:ascii="Times New Roman" w:hAnsi="Times New Roman" w:eastAsia="仿宋_GB2312" w:cs="Times New Roman"/>
          <w:kern w:val="0"/>
          <w:sz w:val="32"/>
          <w:szCs w:val="32"/>
          <w:lang w:eastAsia="zh-CN"/>
        </w:rPr>
        <w:t>鳄鱼小镇等</w:t>
      </w:r>
      <w:r>
        <w:rPr>
          <w:rFonts w:hint="eastAsia" w:ascii="Times New Roman" w:hAnsi="Times New Roman" w:eastAsia="仿宋_GB2312" w:cs="Times New Roman"/>
          <w:kern w:val="0"/>
          <w:sz w:val="32"/>
          <w:szCs w:val="32"/>
        </w:rPr>
        <w:t>特色产业小镇。</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1"/>
        <w:textAlignment w:val="auto"/>
        <w:rPr>
          <w:rFonts w:ascii="仿宋_GB2312" w:hAnsi="仿宋_GB2312" w:eastAsia="仿宋_GB2312" w:cs="仿宋_GB2312"/>
          <w:sz w:val="32"/>
          <w:szCs w:val="32"/>
        </w:rPr>
      </w:pPr>
      <w:r>
        <w:rPr>
          <w:rFonts w:hint="eastAsia" w:ascii="Times New Roman" w:hAnsi="Times New Roman" w:eastAsia="仿宋_GB2312" w:cs="Times New Roman"/>
          <w:kern w:val="0"/>
          <w:sz w:val="32"/>
          <w:szCs w:val="32"/>
        </w:rPr>
        <w:t>加强农业科技创新与推广。强化现代科技和装备支撑，提高农业良种化水平，积极引导农业科研成果转化，提升</w:t>
      </w:r>
      <w:r>
        <w:rPr>
          <w:rFonts w:ascii="Times New Roman" w:hAnsi="Times New Roman" w:eastAsia="仿宋_GB2312" w:cs="Times New Roman"/>
          <w:kern w:val="0"/>
          <w:sz w:val="32"/>
          <w:szCs w:val="32"/>
        </w:rPr>
        <w:t>基层农技推广服务能力。</w:t>
      </w:r>
      <w:r>
        <w:rPr>
          <w:rFonts w:hint="eastAsia" w:ascii="Times New Roman" w:hAnsi="Times New Roman" w:eastAsia="仿宋_GB2312" w:cs="Times New Roman"/>
          <w:kern w:val="0"/>
          <w:sz w:val="32"/>
          <w:szCs w:val="32"/>
        </w:rPr>
        <w:t>推广使用现代农业机械化装备，促进农业</w:t>
      </w:r>
      <w:r>
        <w:rPr>
          <w:rFonts w:ascii="Times New Roman" w:hAnsi="Times New Roman" w:eastAsia="仿宋_GB2312" w:cs="Times New Roman"/>
          <w:kern w:val="0"/>
          <w:sz w:val="32"/>
          <w:szCs w:val="32"/>
        </w:rPr>
        <w:t>机械化全程全面发展</w:t>
      </w:r>
      <w:r>
        <w:rPr>
          <w:rFonts w:hint="eastAsia" w:ascii="Times New Roman" w:hAnsi="Times New Roman" w:eastAsia="仿宋_GB2312" w:cs="Times New Roman"/>
          <w:kern w:val="0"/>
          <w:sz w:val="32"/>
          <w:szCs w:val="32"/>
        </w:rPr>
        <w:t>，提高农业机械化水平。</w:t>
      </w:r>
      <w:r>
        <w:rPr>
          <w:rFonts w:ascii="Times New Roman" w:hAnsi="Times New Roman" w:eastAsia="仿宋_GB2312" w:cs="Times New Roman"/>
          <w:kern w:val="0"/>
          <w:sz w:val="32"/>
          <w:szCs w:val="32"/>
        </w:rPr>
        <w:t>推进</w:t>
      </w:r>
      <w:r>
        <w:rPr>
          <w:rFonts w:hint="eastAsia" w:ascii="Times New Roman" w:hAnsi="Times New Roman" w:eastAsia="仿宋_GB2312" w:cs="Times New Roman"/>
          <w:kern w:val="0"/>
          <w:sz w:val="32"/>
          <w:szCs w:val="32"/>
        </w:rPr>
        <w:t>农业</w:t>
      </w:r>
      <w:r>
        <w:rPr>
          <w:rFonts w:ascii="Times New Roman" w:hAnsi="Times New Roman" w:eastAsia="仿宋_GB2312" w:cs="Times New Roman"/>
          <w:kern w:val="0"/>
          <w:sz w:val="32"/>
          <w:szCs w:val="32"/>
        </w:rPr>
        <w:t>生产经营数字化。</w:t>
      </w:r>
      <w:r>
        <w:rPr>
          <w:rFonts w:hint="eastAsia" w:ascii="Times New Roman" w:hAnsi="Times New Roman" w:eastAsia="仿宋_GB2312" w:cs="Times New Roman"/>
          <w:kern w:val="0"/>
          <w:sz w:val="32"/>
          <w:szCs w:val="32"/>
        </w:rPr>
        <w:t>培育一批农业科技人才，提高农民科技文化素质，集中开展新品种展示示范、新技术创新集成、新工艺推广应用、科普教育培训。开展分级包装、产地仓储、冷链物流、农产品精深加工等现代化设施设备建设。</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522" w:type="dxa"/>
            <w:vAlign w:val="top"/>
          </w:tcPr>
          <w:p>
            <w:pPr>
              <w:keepNext w:val="0"/>
              <w:keepLines w:val="0"/>
              <w:pageBreakBefore w:val="0"/>
              <w:widowControl/>
              <w:kinsoku/>
              <w:wordWrap/>
              <w:overflowPunct/>
              <w:topLinePunct w:val="0"/>
              <w:autoSpaceDE/>
              <w:autoSpaceDN/>
              <w:bidi w:val="0"/>
              <w:adjustRightInd w:val="0"/>
              <w:snapToGrid w:val="0"/>
              <w:spacing w:before="156" w:beforeLines="50" w:line="240" w:lineRule="auto"/>
              <w:ind w:left="0" w:leftChars="0" w:right="0" w:rightChars="0" w:firstLine="0" w:firstLineChars="0"/>
              <w:jc w:val="center"/>
              <w:textAlignment w:val="auto"/>
              <w:outlineLvl w:val="9"/>
              <w:rPr>
                <w:rFonts w:ascii="Times New Roman" w:hAnsi="Times New Roman" w:eastAsia="宋体" w:cs="Times New Roman"/>
                <w:b/>
                <w:kern w:val="0"/>
                <w:sz w:val="28"/>
                <w:szCs w:val="28"/>
              </w:rPr>
            </w:pPr>
            <w:r>
              <w:rPr>
                <w:rFonts w:hint="eastAsia" w:ascii="黑体" w:hAnsi="黑体" w:eastAsia="黑体"/>
                <w:bCs/>
                <w:sz w:val="28"/>
                <w:szCs w:val="28"/>
              </w:rPr>
              <w:t>专栏3  农业重点品牌培育工程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outlineLvl w:val="9"/>
              <w:rPr>
                <w:rFonts w:hint="eastAsia" w:ascii="仿宋_GB2312" w:hAnsi="仿宋_GB2312" w:eastAsia="仿宋_GB2312" w:cs="仿宋_GB2312"/>
                <w:bCs/>
                <w:kern w:val="2"/>
                <w:sz w:val="28"/>
                <w:szCs w:val="28"/>
              </w:rPr>
            </w:pPr>
            <w:r>
              <w:rPr>
                <w:rFonts w:hint="eastAsia" w:ascii="楷体_GB2312" w:eastAsia="楷体_GB2312" w:cstheme="minorBidi"/>
                <w:b/>
                <w:bCs w:val="0"/>
                <w:kern w:val="2"/>
                <w:sz w:val="28"/>
                <w:szCs w:val="28"/>
                <w:lang w:eastAsia="zh-CN"/>
              </w:rPr>
              <w:t>（一）</w:t>
            </w:r>
            <w:r>
              <w:rPr>
                <w:rFonts w:hint="eastAsia" w:ascii="楷体_GB2312" w:eastAsia="楷体_GB2312" w:hAnsiTheme="minorHAnsi" w:cstheme="minorBidi"/>
                <w:b/>
                <w:bCs w:val="0"/>
                <w:kern w:val="2"/>
                <w:sz w:val="28"/>
                <w:szCs w:val="28"/>
              </w:rPr>
              <w:t>东方火龙果产业品牌工程。</w:t>
            </w:r>
            <w:r>
              <w:rPr>
                <w:rFonts w:hint="eastAsia" w:ascii="仿宋_GB2312" w:hAnsi="仿宋_GB2312" w:eastAsia="仿宋_GB2312" w:cs="仿宋_GB2312"/>
                <w:bCs/>
                <w:kern w:val="2"/>
                <w:sz w:val="28"/>
                <w:szCs w:val="28"/>
              </w:rPr>
              <w:t>建成火龙果种植基地，建设火龙果原浆、火龙果果汁、火龙果酵素、火龙果酒、口红、面膜等系列产品现代化精深加工基地。打造若干个以火龙果为主，集种植、销售、深加工、生物有机肥生产、观光休闲农业为一体的绿色可持续发展的国家级现代农业全产业链生态产业园。</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outlineLvl w:val="9"/>
              <w:rPr>
                <w:rFonts w:hint="eastAsia" w:ascii="楷体_GB2312" w:eastAsia="楷体_GB2312" w:cstheme="minorBidi"/>
                <w:b/>
                <w:bCs w:val="0"/>
                <w:kern w:val="2"/>
                <w:sz w:val="28"/>
                <w:szCs w:val="28"/>
                <w:lang w:eastAsia="zh-CN"/>
              </w:rPr>
            </w:pPr>
            <w:r>
              <w:rPr>
                <w:rFonts w:hint="eastAsia" w:ascii="楷体_GB2312" w:eastAsia="楷体_GB2312" w:cstheme="minorBidi"/>
                <w:b/>
                <w:bCs w:val="0"/>
                <w:kern w:val="2"/>
                <w:sz w:val="28"/>
                <w:szCs w:val="28"/>
                <w:lang w:eastAsia="zh-CN"/>
              </w:rPr>
              <w:t>（二）</w:t>
            </w:r>
            <w:r>
              <w:rPr>
                <w:rFonts w:hint="eastAsia" w:ascii="楷体_GB2312" w:eastAsia="楷体_GB2312" w:hAnsiTheme="minorHAnsi" w:cstheme="minorBidi"/>
                <w:b/>
                <w:bCs w:val="0"/>
                <w:kern w:val="2"/>
                <w:sz w:val="28"/>
                <w:szCs w:val="28"/>
              </w:rPr>
              <w:t>东方黄花梨产业品牌工程。</w:t>
            </w:r>
            <w:r>
              <w:rPr>
                <w:rFonts w:hint="eastAsia" w:ascii="仿宋_GB2312" w:hAnsi="仿宋_GB2312" w:eastAsia="仿宋_GB2312" w:cs="仿宋_GB2312"/>
                <w:bCs/>
                <w:kern w:val="2"/>
                <w:sz w:val="28"/>
                <w:szCs w:val="28"/>
              </w:rPr>
              <w:t>挖掘整合东方花梨木产业资源，区分工艺级和药用级花梨产品，打造标准化分级认证的花梨木家具、工艺品、文物、健康产品体系，设计推出成本和价格合理的、标准化的、艺术形式新颖、具有市场活力的花梨“伴手礼”，培育一批农民从事黄花梨加工产业，策划筹建东方黄花梨博物馆和黄花梨文化活动。</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outlineLvl w:val="9"/>
              <w:rPr>
                <w:rFonts w:hint="eastAsia" w:ascii="仿宋_GB2312" w:hAnsi="仿宋_GB2312" w:eastAsia="仿宋_GB2312" w:cs="仿宋_GB2312"/>
                <w:bCs/>
                <w:kern w:val="2"/>
                <w:sz w:val="28"/>
                <w:szCs w:val="28"/>
              </w:rPr>
            </w:pPr>
            <w:r>
              <w:rPr>
                <w:rFonts w:hint="eastAsia" w:ascii="楷体_GB2312" w:eastAsia="楷体_GB2312" w:cstheme="minorBidi"/>
                <w:b/>
                <w:bCs w:val="0"/>
                <w:kern w:val="2"/>
                <w:sz w:val="28"/>
                <w:szCs w:val="28"/>
                <w:lang w:eastAsia="zh-CN"/>
              </w:rPr>
              <w:t>（三）</w:t>
            </w:r>
            <w:r>
              <w:rPr>
                <w:rFonts w:hint="eastAsia" w:ascii="楷体_GB2312" w:eastAsia="楷体_GB2312" w:hAnsiTheme="minorHAnsi" w:cstheme="minorBidi"/>
                <w:b/>
                <w:bCs w:val="0"/>
                <w:kern w:val="2"/>
                <w:sz w:val="28"/>
                <w:szCs w:val="28"/>
              </w:rPr>
              <w:t>东方</w:t>
            </w:r>
            <w:r>
              <w:rPr>
                <w:rFonts w:hint="eastAsia" w:ascii="楷体_GB2312" w:eastAsia="楷体_GB2312" w:cstheme="minorBidi"/>
                <w:b/>
                <w:bCs w:val="0"/>
                <w:kern w:val="2"/>
                <w:sz w:val="28"/>
                <w:szCs w:val="28"/>
                <w:lang w:eastAsia="zh-CN"/>
              </w:rPr>
              <w:t>鳄鱼</w:t>
            </w:r>
            <w:r>
              <w:rPr>
                <w:rFonts w:hint="eastAsia" w:ascii="楷体_GB2312" w:eastAsia="楷体_GB2312" w:hAnsiTheme="minorHAnsi" w:cstheme="minorBidi"/>
                <w:b/>
                <w:bCs w:val="0"/>
                <w:kern w:val="2"/>
                <w:sz w:val="28"/>
                <w:szCs w:val="28"/>
              </w:rPr>
              <w:t>产业品牌工程。</w:t>
            </w:r>
            <w:r>
              <w:rPr>
                <w:rFonts w:hint="eastAsia" w:ascii="仿宋_GB2312" w:hAnsi="仿宋_GB2312" w:eastAsia="仿宋_GB2312" w:cs="仿宋_GB2312"/>
                <w:bCs/>
                <w:kern w:val="2"/>
                <w:sz w:val="28"/>
                <w:szCs w:val="28"/>
              </w:rPr>
              <w:t>利用东方</w:t>
            </w:r>
            <w:r>
              <w:rPr>
                <w:rFonts w:hint="eastAsia" w:ascii="仿宋_GB2312" w:hAnsi="仿宋_GB2312" w:eastAsia="仿宋_GB2312" w:cs="仿宋_GB2312"/>
                <w:bCs/>
                <w:kern w:val="2"/>
                <w:sz w:val="28"/>
                <w:szCs w:val="28"/>
                <w:lang w:eastAsia="zh-CN"/>
              </w:rPr>
              <w:t>的</w:t>
            </w:r>
            <w:r>
              <w:rPr>
                <w:rFonts w:hint="eastAsia" w:ascii="仿宋_GB2312" w:hAnsi="仿宋_GB2312" w:eastAsia="仿宋_GB2312" w:cs="仿宋_GB2312"/>
                <w:bCs/>
                <w:kern w:val="2"/>
                <w:sz w:val="28"/>
                <w:szCs w:val="28"/>
              </w:rPr>
              <w:t>气候优势，结合市场消费升级需求，开展生态立体环保鳄鱼养殖，推动一二三产联动，致力于打造集鳄鱼养殖、生鲜粗加工、高端衍生品精深加工、旅游观光、娱乐购物为一体的全产业链融合发展的鳄鱼产业集群</w:t>
            </w:r>
            <w:r>
              <w:rPr>
                <w:rFonts w:hint="eastAsia" w:ascii="仿宋_GB2312" w:hAnsi="仿宋_GB2312" w:eastAsia="仿宋_GB2312" w:cs="仿宋_GB2312"/>
                <w:bCs/>
                <w:kern w:val="2"/>
                <w:sz w:val="28"/>
                <w:szCs w:val="28"/>
                <w:lang w:eastAsia="zh-CN"/>
              </w:rPr>
              <w:t>等</w:t>
            </w:r>
            <w:r>
              <w:rPr>
                <w:rFonts w:hint="eastAsia" w:ascii="仿宋_GB2312" w:hAnsi="仿宋_GB2312" w:eastAsia="仿宋_GB2312" w:cs="仿宋_GB2312"/>
                <w:bCs/>
                <w:kern w:val="2"/>
                <w:sz w:val="28"/>
                <w:szCs w:val="28"/>
              </w:rPr>
              <w:t>。</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outlineLvl w:val="9"/>
              <w:rPr>
                <w:rFonts w:ascii="Times New Roman" w:hAnsi="Times New Roman" w:eastAsia="楷体_GB2312" w:cs="Times New Roman"/>
                <w:kern w:val="0"/>
                <w:sz w:val="24"/>
                <w:szCs w:val="24"/>
              </w:rPr>
            </w:pPr>
            <w:r>
              <w:rPr>
                <w:rFonts w:hint="eastAsia" w:ascii="楷体_GB2312" w:eastAsia="楷体_GB2312" w:cstheme="minorBidi"/>
                <w:b/>
                <w:bCs w:val="0"/>
                <w:kern w:val="2"/>
                <w:sz w:val="28"/>
                <w:szCs w:val="28"/>
                <w:lang w:eastAsia="zh-CN"/>
              </w:rPr>
              <w:t>（四）</w:t>
            </w:r>
            <w:r>
              <w:rPr>
                <w:rFonts w:hint="eastAsia" w:ascii="楷体_GB2312" w:eastAsia="楷体_GB2312" w:hAnsiTheme="minorHAnsi" w:cstheme="minorBidi"/>
                <w:b/>
                <w:bCs w:val="0"/>
                <w:kern w:val="2"/>
                <w:sz w:val="28"/>
                <w:szCs w:val="28"/>
              </w:rPr>
              <w:t>东方热带花卉产业品牌工程。</w:t>
            </w:r>
            <w:r>
              <w:rPr>
                <w:rFonts w:hint="eastAsia" w:ascii="仿宋_GB2312" w:hAnsi="仿宋_GB2312" w:eastAsia="仿宋_GB2312" w:cs="仿宋_GB2312"/>
                <w:bCs/>
                <w:kern w:val="2"/>
                <w:sz w:val="28"/>
                <w:szCs w:val="28"/>
              </w:rPr>
              <w:t>以发展盆花和切花为主，支持企业对花卉品种、种苗培养、技术集成、设施设备、保鲜运输等进行集中研发。建设"全程可控的花卉设施生产基地"，支持花卉龙头企业指导农民种植花卉，为农民提供种苗、农业投入品、技术指导、产品统一定值回收销售等服务。依托自贸港平台，建设东方国际花卉交易中心，让花卉产品从东方直接走向世界。</w:t>
            </w:r>
          </w:p>
        </w:tc>
      </w:tr>
    </w:tbl>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21" w:name="_Toc61275573"/>
      <w:r>
        <w:rPr>
          <w:rFonts w:ascii="Times New Roman" w:hAnsi="Times New Roman" w:eastAsia="楷体_GB2312" w:cs="Times New Roman"/>
        </w:rPr>
        <w:t>第二节</w:t>
      </w:r>
      <w:r>
        <w:rPr>
          <w:rFonts w:hint="eastAsia" w:ascii="Times New Roman" w:hAnsi="Times New Roman" w:eastAsia="楷体_GB2312" w:cs="Times New Roman"/>
        </w:rPr>
        <w:t xml:space="preserve">  推动农业绿色发展</w:t>
      </w:r>
      <w:bookmarkEnd w:id="21"/>
    </w:p>
    <w:p>
      <w:pPr>
        <w:keepNext w:val="0"/>
        <w:keepLines w:val="0"/>
        <w:pageBreakBefore w:val="0"/>
        <w:widowControl/>
        <w:kinsoku/>
        <w:wordWrap/>
        <w:overflowPunct/>
        <w:topLinePunct w:val="0"/>
        <w:bidi w:val="0"/>
        <w:adjustRightInd w:val="0"/>
        <w:snapToGrid w:val="0"/>
        <w:spacing w:line="600" w:lineRule="exact"/>
        <w:ind w:left="0" w:leftChars="0" w:right="0" w:rightChars="0" w:firstLine="640"/>
        <w:textAlignment w:val="auto"/>
        <w:rPr>
          <w:rFonts w:eastAsia="仿宋_GB2312"/>
          <w:sz w:val="32"/>
          <w:szCs w:val="32"/>
        </w:rPr>
      </w:pPr>
      <w:r>
        <w:rPr>
          <w:rFonts w:hint="eastAsia" w:ascii="Times New Roman" w:hAnsi="Times New Roman" w:eastAsia="仿宋_GB2312" w:cs="Times New Roman"/>
          <w:kern w:val="0"/>
          <w:sz w:val="32"/>
          <w:szCs w:val="32"/>
        </w:rPr>
        <w:t>建立健全农业</w:t>
      </w:r>
      <w:r>
        <w:rPr>
          <w:rFonts w:ascii="仿宋_GB2312" w:hAnsi="仿宋_GB2312" w:eastAsia="仿宋_GB2312" w:cs="仿宋_GB2312"/>
          <w:color w:val="000000"/>
          <w:kern w:val="0"/>
          <w:sz w:val="31"/>
          <w:szCs w:val="31"/>
          <w:lang w:bidi="ar"/>
        </w:rPr>
        <w:t>绿色发展支撑体系</w:t>
      </w:r>
      <w:r>
        <w:rPr>
          <w:rFonts w:hint="eastAsia" w:ascii="Times New Roman" w:hAnsi="Times New Roman" w:eastAsia="仿宋_GB2312" w:cs="Times New Roman"/>
          <w:kern w:val="0"/>
          <w:sz w:val="32"/>
          <w:szCs w:val="32"/>
        </w:rPr>
        <w:t>。以南繁种业、火龙果、芒果、哈密瓜和甘薯等产业为重点，围绕生产关键环节、重要技术、标准体系、产业融合和经营主体等内容先行先试，建立热带地区农业绿色发展的技术体系、标准体系、产业体系、经营体系、政策体系和数字体系。</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textAlignment w:val="auto"/>
        <w:rPr>
          <w:rFonts w:eastAsia="仿宋_GB2312"/>
          <w:sz w:val="32"/>
          <w:szCs w:val="32"/>
        </w:rPr>
      </w:pPr>
      <w:r>
        <w:rPr>
          <w:rFonts w:ascii="Times New Roman" w:hAnsi="Times New Roman" w:eastAsia="仿宋_GB2312" w:cs="Times New Roman"/>
          <w:kern w:val="0"/>
          <w:sz w:val="32"/>
          <w:szCs w:val="32"/>
        </w:rPr>
        <w:t>开展农业投入品规范化管理。积极推广应用生态调控、生物防治、物理防治、科学用药等绿色防控技术，加强投入品使用台账建设。实施化肥和农药减量行动，推广测土配方施肥技术</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支持使用有机肥、生物菌肥、生物菌、生物制剂进行农业生产和使用生物农药、生物措施防治病虫害</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开展农作物病虫害绿色生物防控技术和专业化统防统治。开展农业投入品田间废弃物污染综合防治工作，推进农业清洁生产。</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textAlignment w:val="auto"/>
        <w:rPr>
          <w:rFonts w:eastAsia="仿宋_GB2312"/>
          <w:sz w:val="32"/>
          <w:szCs w:val="32"/>
        </w:rPr>
      </w:pPr>
      <w:r>
        <w:rPr>
          <w:rFonts w:ascii="Times New Roman" w:hAnsi="Times New Roman" w:eastAsia="仿宋_GB2312" w:cs="Times New Roman"/>
          <w:kern w:val="0"/>
          <w:sz w:val="32"/>
          <w:szCs w:val="32"/>
        </w:rPr>
        <w:t>大力发展生态循环农业</w:t>
      </w:r>
      <w:r>
        <w:rPr>
          <w:rFonts w:hint="eastAsia" w:ascii="Times New Roman" w:hAnsi="Times New Roman" w:eastAsia="仿宋_GB2312" w:cs="Times New Roman"/>
          <w:kern w:val="0"/>
          <w:sz w:val="32"/>
          <w:szCs w:val="32"/>
        </w:rPr>
        <w:t>和智慧农业</w:t>
      </w:r>
      <w:r>
        <w:rPr>
          <w:rFonts w:ascii="Times New Roman" w:hAnsi="Times New Roman" w:eastAsia="仿宋_GB2312" w:cs="Times New Roman"/>
          <w:kern w:val="0"/>
          <w:sz w:val="32"/>
          <w:szCs w:val="32"/>
        </w:rPr>
        <w:t>。引进国内大型有机肥生产企业，充分整合玉米秸秆青贮利用、畜牧养殖、粪污生产有机肥、有机肥还田种植瓜果菜等环节，实现“秸秆饲料化</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畜牧养殖</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有机肥生产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瓜果菜种植”闭环利用。提升农产品品质，着力解决秸秆、畜禽粪污治理等生态环保难题。</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textAlignment w:val="auto"/>
        <w:rPr>
          <w:rFonts w:eastAsia="仿宋_GB2312"/>
          <w:sz w:val="32"/>
          <w:szCs w:val="32"/>
        </w:rPr>
      </w:pPr>
      <w:r>
        <w:rPr>
          <w:rFonts w:hint="eastAsia" w:ascii="Times New Roman" w:hAnsi="Times New Roman" w:eastAsia="仿宋_GB2312" w:cs="Times New Roman"/>
          <w:kern w:val="0"/>
          <w:sz w:val="32"/>
          <w:szCs w:val="32"/>
        </w:rPr>
        <w:t>加强农产品质量安全监管</w:t>
      </w:r>
      <w:r>
        <w:rPr>
          <w:rFonts w:hint="eastAsia" w:eastAsia="仿宋_GB2312" w:cs="Times New Roman"/>
          <w:kern w:val="0"/>
          <w:sz w:val="32"/>
          <w:szCs w:val="32"/>
        </w:rPr>
        <w:t>。</w:t>
      </w:r>
      <w:r>
        <w:rPr>
          <w:rFonts w:hint="eastAsia" w:ascii="Times New Roman" w:hAnsi="Times New Roman" w:eastAsia="仿宋_GB2312" w:cs="Times New Roman"/>
          <w:kern w:val="0"/>
          <w:sz w:val="32"/>
          <w:szCs w:val="32"/>
        </w:rPr>
        <w:t>完善追溯体系，确保全市绿色优质农产品和生态产品供给，</w:t>
      </w:r>
      <w:r>
        <w:rPr>
          <w:rFonts w:hint="eastAsia" w:ascii="Times New Roman" w:hAnsi="Times New Roman" w:eastAsia="仿宋_GB2312" w:cs="Times New Roman"/>
          <w:sz w:val="32"/>
          <w:szCs w:val="32"/>
        </w:rPr>
        <w:t>守住农产品质量安全底线。</w:t>
      </w:r>
      <w:r>
        <w:rPr>
          <w:rFonts w:hint="eastAsia" w:ascii="Times New Roman" w:hAnsi="Times New Roman" w:eastAsia="仿宋_GB2312" w:cs="Times New Roman"/>
          <w:kern w:val="0"/>
          <w:sz w:val="32"/>
          <w:szCs w:val="32"/>
        </w:rPr>
        <w:t>建成一批农业绿色发展示范区，为海南农业绿色发展提供可复制可推广的经验。</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22" w:name="_Toc61275574"/>
      <w:r>
        <w:rPr>
          <w:rFonts w:ascii="Times New Roman" w:hAnsi="Times New Roman" w:eastAsia="楷体_GB2312" w:cs="Times New Roman"/>
        </w:rPr>
        <w:t>第三节</w:t>
      </w:r>
      <w:r>
        <w:rPr>
          <w:rFonts w:hint="eastAsia" w:ascii="Times New Roman" w:hAnsi="Times New Roman" w:eastAsia="楷体_GB2312" w:cs="Times New Roman"/>
        </w:rPr>
        <w:t xml:space="preserve">  深化农村改革</w:t>
      </w:r>
      <w:bookmarkEnd w:id="22"/>
    </w:p>
    <w:p>
      <w:pPr>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eastAsia="仿宋_GB2312"/>
          <w:sz w:val="32"/>
          <w:szCs w:val="32"/>
        </w:rPr>
      </w:pPr>
      <w:r>
        <w:rPr>
          <w:rFonts w:ascii="Times New Roman" w:hAnsi="Times New Roman" w:eastAsia="仿宋_GB2312" w:cs="Times New Roman"/>
          <w:kern w:val="0"/>
          <w:sz w:val="32"/>
          <w:szCs w:val="32"/>
        </w:rPr>
        <w:t>持续深化农村土地改革。探索土地征收制度改革，进一步增加农民土地收益。探索建立“同权同价、流转顺畅、收益共享”的农村集体经营性建设用地入市制度，在符合东方市总体规划和用途管制等前提下，允许存量农村集体经营性建设用地使用权以出让、租赁、作价出资（入股）等方式入市。探索建立宅基地试点管理办法，解决“一户多宅”等问题。深入推进农村房地一体化不动产确权登记，确保2021年全面完成村庄房屋颁证和数据库建库。加快完善农村宅基地申报和审批制度，规范报建程序、简化报建手续，推广“巡回报建”“政策下乡”服务模式，提高农村建房审批效率、优化审批服务。</w:t>
      </w:r>
    </w:p>
    <w:p>
      <w:pPr>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eastAsia="仿宋_GB2312"/>
          <w:sz w:val="32"/>
          <w:szCs w:val="32"/>
        </w:rPr>
      </w:pPr>
      <w:r>
        <w:rPr>
          <w:rFonts w:ascii="仿宋_GB2312" w:hAnsi="华文中宋" w:eastAsia="仿宋_GB2312"/>
          <w:sz w:val="32"/>
          <w:szCs w:val="32"/>
        </w:rPr>
        <w:t>全面</w:t>
      </w:r>
      <w:r>
        <w:rPr>
          <w:rFonts w:hint="eastAsia" w:ascii="仿宋_GB2312" w:hAnsi="华文中宋" w:eastAsia="仿宋_GB2312"/>
          <w:sz w:val="32"/>
          <w:szCs w:val="32"/>
        </w:rPr>
        <w:t>开展</w:t>
      </w:r>
      <w:r>
        <w:rPr>
          <w:rFonts w:ascii="仿宋_GB2312" w:hAnsi="华文中宋" w:eastAsia="仿宋_GB2312"/>
          <w:sz w:val="32"/>
          <w:szCs w:val="32"/>
        </w:rPr>
        <w:t>农村集体产权制度改革</w:t>
      </w:r>
      <w:r>
        <w:rPr>
          <w:rFonts w:hint="eastAsia" w:ascii="仿宋_GB2312" w:hAnsi="华文中宋" w:eastAsia="仿宋_GB2312"/>
          <w:sz w:val="32"/>
          <w:szCs w:val="32"/>
        </w:rPr>
        <w:t>。</w:t>
      </w:r>
      <w:r>
        <w:rPr>
          <w:rFonts w:ascii="Times New Roman" w:hAnsi="Times New Roman" w:eastAsia="仿宋_GB2312" w:cs="Times New Roman"/>
          <w:kern w:val="0"/>
          <w:sz w:val="32"/>
          <w:szCs w:val="32"/>
        </w:rPr>
        <w:t>放宽社会资本进入农村的限制，支持社会资本与农村集体经济组织深度合作，发展壮大新型集体经济。鼓励村级集体经济组织以资源资产作价入股、资产托管、租赁、承包经营等多种经营模式与社会资本合作，共建农业产业园、创新创业园、农业科技园和乡村旅游示范区。</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textAlignment w:val="auto"/>
        <w:rPr>
          <w:rFonts w:eastAsia="仿宋_GB2312"/>
          <w:sz w:val="32"/>
          <w:szCs w:val="32"/>
        </w:rPr>
      </w:pPr>
      <w:r>
        <w:rPr>
          <w:rFonts w:hint="eastAsia" w:ascii="Times New Roman" w:hAnsi="Times New Roman" w:eastAsia="仿宋_GB2312" w:cs="Times New Roman"/>
          <w:kern w:val="0"/>
          <w:sz w:val="32"/>
          <w:szCs w:val="32"/>
        </w:rPr>
        <w:t>创新农业生产组织和经营方式</w:t>
      </w:r>
      <w:r>
        <w:rPr>
          <w:rFonts w:hint="eastAsia" w:eastAsia="仿宋_GB2312" w:cs="Times New Roman"/>
          <w:kern w:val="0"/>
          <w:sz w:val="32"/>
          <w:szCs w:val="32"/>
        </w:rPr>
        <w:t>。</w:t>
      </w:r>
      <w:r>
        <w:rPr>
          <w:rFonts w:hint="eastAsia" w:ascii="Times New Roman" w:hAnsi="Times New Roman" w:eastAsia="仿宋_GB2312" w:cs="Times New Roman"/>
          <w:kern w:val="0"/>
          <w:sz w:val="32"/>
          <w:szCs w:val="32"/>
        </w:rPr>
        <w:t>发展多种形式的农业生产组织和农业社会化服务组织，鼓励农民兴办专业合作和股份合作等多元化、多类型合作社</w:t>
      </w:r>
      <w:r>
        <w:rPr>
          <w:rFonts w:hint="eastAsia" w:eastAsia="仿宋_GB2312" w:cs="Times New Roman"/>
          <w:kern w:val="0"/>
          <w:sz w:val="32"/>
          <w:szCs w:val="32"/>
        </w:rPr>
        <w:t>，</w:t>
      </w:r>
      <w:r>
        <w:rPr>
          <w:rFonts w:hint="eastAsia" w:ascii="Times New Roman" w:hAnsi="Times New Roman" w:eastAsia="仿宋_GB2312" w:cs="Times New Roman"/>
          <w:kern w:val="0"/>
          <w:sz w:val="32"/>
          <w:szCs w:val="32"/>
        </w:rPr>
        <w:t>完善利益联结机制，让农民更多分享产业增值收益。</w:t>
      </w:r>
      <w:r>
        <w:rPr>
          <w:rFonts w:ascii="Times New Roman" w:hAnsi="Times New Roman" w:eastAsia="仿宋_GB2312" w:cs="Times New Roman"/>
          <w:kern w:val="0"/>
          <w:sz w:val="32"/>
          <w:szCs w:val="32"/>
        </w:rPr>
        <w:t>支持合作社改善生产经营条件、增强发展能力，引导农民合作社以产品和产业为纽带开展合作与联合。逐步扩大农村土地整理、农业综合开发、农田水利建设、农技推广等涉农项目由合作社承担的规模。</w:t>
      </w:r>
    </w:p>
    <w:p>
      <w:pPr>
        <w:pStyle w:val="41"/>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健全农业保险和风险防控保障机制</w:t>
      </w:r>
      <w:r>
        <w:rPr>
          <w:rFonts w:hint="eastAsia" w:eastAsia="仿宋_GB2312" w:cs="Times New Roman"/>
          <w:sz w:val="32"/>
          <w:szCs w:val="32"/>
        </w:rPr>
        <w:t>。</w:t>
      </w:r>
      <w:r>
        <w:rPr>
          <w:rFonts w:hint="eastAsia" w:ascii="Times New Roman" w:hAnsi="Times New Roman" w:eastAsia="仿宋_GB2312" w:cs="Times New Roman"/>
          <w:sz w:val="32"/>
          <w:szCs w:val="32"/>
        </w:rPr>
        <w:t>扩大农业保险覆盖面，提高农业保险保障水平，拓宽农业保险服务领域，满足多元化的风险保障需求，切实维护投保农民和农业生产经营组织利益。加快建立以信用、保险、推广、供销为经营服务重点的专业化服务体系，建设政府农产品动态信息采集平台和组建农产品公益性运销实体。</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23" w:name="_Toc61275575"/>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r>
        <w:rPr>
          <w:rFonts w:ascii="Times New Roman" w:hAnsi="Times New Roman" w:eastAsia="楷体_GB2312" w:cs="Times New Roman"/>
        </w:rPr>
        <w:t>第四节</w:t>
      </w:r>
      <w:r>
        <w:rPr>
          <w:rFonts w:hint="eastAsia" w:ascii="Times New Roman" w:hAnsi="Times New Roman" w:eastAsia="楷体_GB2312" w:cs="Times New Roman"/>
        </w:rPr>
        <w:t xml:space="preserve">  实施乡村建设行动</w:t>
      </w:r>
      <w:bookmarkEnd w:id="23"/>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textAlignment w:val="auto"/>
        <w:rPr>
          <w:rFonts w:eastAsia="仿宋_GB2312"/>
          <w:sz w:val="32"/>
          <w:szCs w:val="32"/>
        </w:rPr>
      </w:pPr>
      <w:r>
        <w:rPr>
          <w:rFonts w:ascii="Times New Roman" w:hAnsi="Times New Roman" w:eastAsia="仿宋_GB2312" w:cs="Times New Roman"/>
          <w:kern w:val="0"/>
          <w:sz w:val="32"/>
          <w:szCs w:val="32"/>
        </w:rPr>
        <w:t>提升基础设施建设和公共服务设施水平。</w:t>
      </w:r>
      <w:r>
        <w:rPr>
          <w:rFonts w:hint="eastAsia" w:ascii="Times New Roman" w:hAnsi="Times New Roman" w:eastAsia="仿宋_GB2312" w:cs="Times New Roman"/>
          <w:kern w:val="0"/>
          <w:sz w:val="32"/>
          <w:szCs w:val="32"/>
        </w:rPr>
        <w:t>把乡村建设摆在社会主义现代化建设的重要位置。强化市区综合服务能力，把乡镇建成服务农民的区域中心。统筹城乡规划建设，深化垦地融合发展，确保新一轮村庄规划应编尽编，优化村庄空间布局，保护传统村落和乡村布局。</w:t>
      </w:r>
      <w:r>
        <w:rPr>
          <w:rFonts w:ascii="Times New Roman" w:hAnsi="Times New Roman" w:eastAsia="仿宋_GB2312" w:cs="Times New Roman"/>
          <w:kern w:val="0"/>
          <w:sz w:val="32"/>
          <w:szCs w:val="32"/>
        </w:rPr>
        <w:t>加快农村路网、光网、电网、气网、水网等基础设施建设，推动农村“五网”基础设施提档升级。加快补齐公共服务设施短板，统筹安排村民委员会、综合服务站、文化服务中心、卫生室、养老和教育等公共服务设施。</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textAlignment w:val="auto"/>
      </w:pPr>
      <w:r>
        <w:rPr>
          <w:rFonts w:ascii="Times New Roman" w:hAnsi="Times New Roman" w:eastAsia="仿宋_GB2312" w:cs="Times New Roman"/>
          <w:kern w:val="0"/>
          <w:sz w:val="32"/>
          <w:szCs w:val="32"/>
        </w:rPr>
        <w:t>加强农村环境综合整治。统筹农村生态保护和修复，积极推进农村生产方式、生活方式和消费方式的绿色化、生态化，改善村容村貌</w:t>
      </w:r>
      <w:r>
        <w:rPr>
          <w:rFonts w:hint="eastAsia" w:ascii="Times New Roman" w:hAnsi="Times New Roman" w:eastAsia="仿宋_GB2312" w:cs="Times New Roman"/>
          <w:kern w:val="0"/>
          <w:sz w:val="32"/>
          <w:szCs w:val="32"/>
        </w:rPr>
        <w:t>。接续推进农村人居环境整治提升行动，</w:t>
      </w:r>
      <w:r>
        <w:rPr>
          <w:rFonts w:ascii="Times New Roman" w:hAnsi="Times New Roman" w:eastAsia="仿宋_GB2312" w:cs="Times New Roman"/>
          <w:kern w:val="0"/>
          <w:sz w:val="32"/>
          <w:szCs w:val="32"/>
        </w:rPr>
        <w:t>开展农村饮用水源保护，大力推进农村卫生环境、危房改造，</w:t>
      </w:r>
      <w:r>
        <w:rPr>
          <w:rFonts w:hint="eastAsia" w:ascii="Times New Roman" w:hAnsi="Times New Roman" w:eastAsia="仿宋_GB2312" w:cs="Times New Roman"/>
          <w:kern w:val="0"/>
          <w:sz w:val="32"/>
          <w:szCs w:val="32"/>
        </w:rPr>
        <w:t>完成农村改厕、生活垃圾分类处理和污水治理，实施农村巷道硬化亮化工程。推进美丽乡村建设，打造椰级乡村旅游点。</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24" w:name="_Toc61275576"/>
      <w:r>
        <w:rPr>
          <w:rFonts w:hint="eastAsia" w:ascii="Times New Roman" w:hAnsi="Times New Roman" w:eastAsia="楷体_GB2312" w:cs="Times New Roman"/>
        </w:rPr>
        <w:t>第五节  加强乡村治理</w:t>
      </w:r>
      <w:bookmarkEnd w:id="24"/>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完善“一核两委一会”乡村治理机制。深化村民自治实践，提升村民自治组织能力，加强农村地区法治建设。实施德治乡村培育行动，推进社会文明大行动，积极培育和践行社会主义核心价值观，塑造新时代文明乡风，传承弘扬乡土文化。强化基层服务能力，构建多方主体参与的乡村治理机制。</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加快推动新型为农服务体系建设。</w:t>
      </w:r>
      <w:r>
        <w:rPr>
          <w:rFonts w:ascii="Times New Roman" w:hAnsi="Times New Roman" w:eastAsia="仿宋_GB2312" w:cs="Times New Roman"/>
          <w:kern w:val="0"/>
          <w:sz w:val="32"/>
          <w:szCs w:val="32"/>
        </w:rPr>
        <w:t>支持农村集体经济组织通过发展农业生产性服务，发挥其统一经营功能。鼓励农民合作社向成员提供各类生产经营服务，发挥其服务成员、引领农民对接市场的纽带作用。引导龙头企业通过基地建设和订单方式为农户提供全程服务，发挥其服务带动作用。大力加强农业行业协会建设，充分发挥行业协会在标准化建设、品牌化经营、产品质量监管和供需衔接、销售定价等方面的桥梁纽带作用。</w:t>
      </w:r>
      <w:r>
        <w:rPr>
          <w:rFonts w:hint="eastAsia" w:ascii="Times New Roman" w:hAnsi="Times New Roman" w:eastAsia="仿宋_GB2312" w:cs="Times New Roman"/>
          <w:kern w:val="0"/>
          <w:sz w:val="32"/>
          <w:szCs w:val="32"/>
        </w:rPr>
        <w:t>充分</w:t>
      </w:r>
      <w:r>
        <w:rPr>
          <w:rFonts w:ascii="Times New Roman" w:hAnsi="Times New Roman" w:eastAsia="仿宋_GB2312" w:cs="Times New Roman"/>
          <w:kern w:val="0"/>
          <w:sz w:val="32"/>
          <w:szCs w:val="32"/>
        </w:rPr>
        <w:t>应用现代科技手段，着力加强农业信息基础设施建设，提升农业信息技术创新应用能力，完善农业信息服务体系，加快</w:t>
      </w:r>
      <w:r>
        <w:rPr>
          <w:rFonts w:hint="eastAsia" w:ascii="Times New Roman" w:hAnsi="Times New Roman" w:eastAsia="仿宋_GB2312" w:cs="Times New Roman"/>
          <w:kern w:val="0"/>
          <w:sz w:val="32"/>
          <w:szCs w:val="32"/>
        </w:rPr>
        <w:t>推进农村管理服务智能化。</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25" w:name="_Toc61275577"/>
      <w:r>
        <w:rPr>
          <w:rFonts w:hint="eastAsia" w:ascii="Times New Roman" w:hAnsi="Times New Roman" w:eastAsia="楷体_GB2312" w:cs="Times New Roman"/>
        </w:rPr>
        <w:t>第六节  实现巩固拓展脱贫攻坚成果同乡村振兴有效衔接</w:t>
      </w:r>
      <w:bookmarkEnd w:id="25"/>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巩固拓展脱贫攻坚成果。</w:t>
      </w:r>
      <w:r>
        <w:rPr>
          <w:rFonts w:hint="eastAsia" w:ascii="Times New Roman" w:hAnsi="Times New Roman" w:eastAsia="仿宋_GB2312" w:cs="Times New Roman"/>
          <w:kern w:val="0"/>
          <w:sz w:val="32"/>
          <w:szCs w:val="32"/>
          <w:lang w:eastAsia="zh-CN"/>
        </w:rPr>
        <w:t>设立衔接过渡期，过渡期内保持</w:t>
      </w:r>
      <w:r>
        <w:rPr>
          <w:rFonts w:hint="eastAsia" w:ascii="Times New Roman" w:hAnsi="Times New Roman" w:eastAsia="仿宋_GB2312" w:cs="Times New Roman"/>
          <w:kern w:val="0"/>
          <w:sz w:val="32"/>
          <w:szCs w:val="32"/>
        </w:rPr>
        <w:t>帮扶政策总体稳定，</w:t>
      </w:r>
      <w:r>
        <w:rPr>
          <w:rFonts w:hint="eastAsia" w:ascii="Times New Roman" w:hAnsi="Times New Roman" w:eastAsia="仿宋_GB2312" w:cs="Times New Roman"/>
          <w:kern w:val="0"/>
          <w:sz w:val="32"/>
          <w:szCs w:val="32"/>
          <w:lang w:eastAsia="zh-CN"/>
        </w:rPr>
        <w:t>持续巩固拓展脱贫攻坚成果，</w:t>
      </w:r>
      <w:r>
        <w:rPr>
          <w:rFonts w:hint="eastAsia" w:ascii="Times New Roman" w:hAnsi="Times New Roman" w:eastAsia="仿宋_GB2312" w:cs="Times New Roman"/>
          <w:kern w:val="0"/>
          <w:sz w:val="32"/>
          <w:szCs w:val="32"/>
        </w:rPr>
        <w:t>建立健全防止返贫致贫监测预警和动态帮扶机制，着力解决边缘户的相对贫困问题，健全稳定脱贫和逐步致富的长效机制。持续发展壮大扶贫</w:t>
      </w:r>
      <w:r>
        <w:rPr>
          <w:rFonts w:hint="eastAsia" w:ascii="Times New Roman" w:hAnsi="Times New Roman" w:eastAsia="仿宋_GB2312" w:cs="Times New Roman"/>
          <w:kern w:val="0"/>
          <w:sz w:val="32"/>
          <w:szCs w:val="32"/>
          <w:lang w:eastAsia="zh-CN"/>
        </w:rPr>
        <w:t>特色</w:t>
      </w:r>
      <w:r>
        <w:rPr>
          <w:rFonts w:hint="eastAsia" w:ascii="Times New Roman" w:hAnsi="Times New Roman" w:eastAsia="仿宋_GB2312" w:cs="Times New Roman"/>
          <w:kern w:val="0"/>
          <w:sz w:val="32"/>
          <w:szCs w:val="32"/>
        </w:rPr>
        <w:t>产业，逐渐从产业扶贫转向产业振兴</w:t>
      </w:r>
      <w:r>
        <w:rPr>
          <w:rFonts w:hint="eastAsia" w:ascii="Times New Roman" w:hAnsi="Times New Roman" w:eastAsia="仿宋_GB2312" w:cs="Times New Roman"/>
          <w:kern w:val="0"/>
          <w:sz w:val="32"/>
          <w:szCs w:val="32"/>
          <w:lang w:eastAsia="zh-CN"/>
        </w:rPr>
        <w:t>，广泛开展农产品产销对接活动，深化拓展消费帮扶，</w:t>
      </w:r>
      <w:r>
        <w:rPr>
          <w:rFonts w:hint="eastAsia" w:ascii="Times New Roman" w:hAnsi="Times New Roman" w:eastAsia="仿宋_GB2312" w:cs="Times New Roman"/>
          <w:kern w:val="0"/>
          <w:sz w:val="32"/>
          <w:szCs w:val="32"/>
        </w:rPr>
        <w:t>实现农业增产、农民增收。做好脱贫人口稳岗就业，</w:t>
      </w:r>
      <w:r>
        <w:rPr>
          <w:rFonts w:hint="eastAsia" w:ascii="Times New Roman" w:hAnsi="Times New Roman" w:eastAsia="仿宋_GB2312" w:cs="Times New Roman"/>
          <w:kern w:val="0"/>
          <w:sz w:val="32"/>
          <w:szCs w:val="32"/>
          <w:lang w:eastAsia="zh-CN"/>
        </w:rPr>
        <w:t>持续做好有组织劳务输出工作，</w:t>
      </w:r>
      <w:r>
        <w:rPr>
          <w:rFonts w:hint="eastAsia" w:ascii="Times New Roman" w:hAnsi="Times New Roman" w:eastAsia="仿宋_GB2312" w:cs="Times New Roman"/>
          <w:kern w:val="0"/>
          <w:sz w:val="32"/>
          <w:szCs w:val="32"/>
        </w:rPr>
        <w:t>千方百计增加贫困户收入。加强扶贫项目资金资产管理和监督，建立健全资产管理制度，创新扶贫资产运营，规范扶贫资产处置，持续发挥扶贫资产效益</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进一步提升贫困地区公共服务水平。更好发挥政府作用，推动城乡要素平等交换、双向流动，增强农业农村发展活力，提高城乡基本公共服务均等化水平。加大对脱贫地区基础设施建设力度，加强农村低收入人口监测，完善农村低收入人口定期核查和动态调整机制。分层分类实施社会救助，完善农村特困人员救助供养体系，合理提高救助供养水平和服务质量。全面推进乡村振兴，不断充足</w:t>
      </w:r>
      <w:r>
        <w:rPr>
          <w:rFonts w:hint="eastAsia" w:ascii="Times New Roman" w:hAnsi="Times New Roman" w:eastAsia="仿宋_GB2312" w:cs="Times New Roman"/>
          <w:kern w:val="0"/>
          <w:sz w:val="32"/>
          <w:szCs w:val="32"/>
        </w:rPr>
        <w:t>脱贫地区</w:t>
      </w:r>
      <w:r>
        <w:rPr>
          <w:rFonts w:hint="eastAsia" w:ascii="Times New Roman" w:hAnsi="Times New Roman" w:eastAsia="仿宋_GB2312" w:cs="Times New Roman"/>
          <w:kern w:val="0"/>
          <w:sz w:val="32"/>
          <w:szCs w:val="32"/>
          <w:lang w:eastAsia="zh-CN"/>
        </w:rPr>
        <w:t>的</w:t>
      </w:r>
      <w:r>
        <w:rPr>
          <w:rFonts w:hint="eastAsia" w:ascii="Times New Roman" w:hAnsi="Times New Roman" w:eastAsia="仿宋_GB2312" w:cs="Times New Roman"/>
          <w:kern w:val="0"/>
          <w:sz w:val="32"/>
          <w:szCs w:val="32"/>
        </w:rPr>
        <w:t>经济活力</w:t>
      </w:r>
      <w:r>
        <w:rPr>
          <w:rFonts w:hint="eastAsia" w:ascii="Times New Roman" w:hAnsi="Times New Roman" w:eastAsia="仿宋_GB2312" w:cs="Times New Roman"/>
          <w:kern w:val="0"/>
          <w:sz w:val="32"/>
          <w:szCs w:val="32"/>
          <w:lang w:eastAsia="zh-CN"/>
        </w:rPr>
        <w:t>和发展后劲，推动</w:t>
      </w:r>
      <w:r>
        <w:rPr>
          <w:rFonts w:hint="eastAsia" w:ascii="Times New Roman" w:hAnsi="Times New Roman" w:eastAsia="仿宋_GB2312" w:cs="Times New Roman"/>
          <w:kern w:val="0"/>
          <w:sz w:val="32"/>
          <w:szCs w:val="32"/>
        </w:rPr>
        <w:t>农业全面升级、农村全面进步、农民全面发展</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br w:type="page"/>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pStyle w:val="3"/>
        <w:keepNext w:val="0"/>
        <w:keepLines w:val="0"/>
        <w:pageBreakBefore w:val="0"/>
        <w:kinsoku/>
        <w:wordWrap/>
        <w:overflowPunct/>
        <w:topLinePunct w:val="0"/>
        <w:bidi w:val="0"/>
        <w:adjustRightInd w:val="0"/>
        <w:snapToGrid w:val="0"/>
        <w:spacing w:before="0" w:after="0" w:line="600" w:lineRule="exact"/>
        <w:ind w:left="0" w:leftChars="0" w:right="0" w:rightChars="0"/>
        <w:jc w:val="center"/>
        <w:textAlignment w:val="auto"/>
        <w:rPr>
          <w:rFonts w:ascii="Times New Roman" w:hAnsi="Times New Roman" w:eastAsia="黑体" w:cs="Times New Roman"/>
          <w:b w:val="0"/>
          <w:sz w:val="32"/>
          <w:szCs w:val="32"/>
        </w:rPr>
      </w:pPr>
      <w:bookmarkStart w:id="26" w:name="_Toc61275578"/>
      <w:r>
        <w:rPr>
          <w:rFonts w:ascii="Times New Roman" w:hAnsi="Times New Roman" w:eastAsia="黑体" w:cs="Times New Roman"/>
          <w:b w:val="0"/>
          <w:sz w:val="32"/>
          <w:szCs w:val="32"/>
        </w:rPr>
        <w:t xml:space="preserve">第五章  </w:t>
      </w:r>
      <w:r>
        <w:rPr>
          <w:rFonts w:hint="eastAsia" w:ascii="Times New Roman" w:hAnsi="Times New Roman" w:eastAsia="黑体" w:cs="Times New Roman"/>
          <w:b w:val="0"/>
          <w:sz w:val="32"/>
          <w:szCs w:val="32"/>
        </w:rPr>
        <w:t>实施空海“双港”驱动，构建西部陆海新通道重要节点</w:t>
      </w:r>
      <w:bookmarkEnd w:id="26"/>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积极推动机场建设，提高港口能级，发挥机场、港口对经济和城市发展的牵动作用，培育现代物流和口岸经济集群，促进内需和外需、进口和出口协调发展，打造西部陆海新通道和海上丝绸之路的重要节点。</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27" w:name="_Toc61275579"/>
      <w:r>
        <w:rPr>
          <w:rFonts w:hint="eastAsia" w:ascii="Times New Roman" w:hAnsi="Times New Roman" w:eastAsia="楷体_GB2312" w:cs="Times New Roman"/>
        </w:rPr>
        <w:t>第一节  推动航空物流国际枢纽机场建设</w:t>
      </w:r>
      <w:bookmarkEnd w:id="27"/>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w:t>
      </w:r>
      <w:r>
        <w:rPr>
          <w:rFonts w:hint="eastAsia" w:ascii="Times New Roman" w:hAnsi="Times New Roman" w:eastAsia="仿宋_GB2312" w:cs="Times New Roman"/>
          <w:kern w:val="0"/>
          <w:sz w:val="32"/>
          <w:szCs w:val="32"/>
          <w:lang w:eastAsia="zh-CN"/>
        </w:rPr>
        <w:t>东方</w:t>
      </w:r>
      <w:r>
        <w:rPr>
          <w:rFonts w:hint="eastAsia" w:ascii="Times New Roman" w:hAnsi="Times New Roman" w:eastAsia="仿宋_GB2312" w:cs="Times New Roman"/>
          <w:kern w:val="0"/>
          <w:sz w:val="32"/>
          <w:szCs w:val="32"/>
        </w:rPr>
        <w:t>航空物流国际枢纽机场</w:t>
      </w:r>
      <w:r>
        <w:rPr>
          <w:rFonts w:hint="eastAsia" w:ascii="Times New Roman" w:hAnsi="Times New Roman" w:eastAsia="仿宋_GB2312" w:cs="Times New Roman"/>
          <w:kern w:val="0"/>
          <w:sz w:val="32"/>
          <w:szCs w:val="32"/>
          <w:lang w:eastAsia="zh-CN"/>
        </w:rPr>
        <w:t>（以下简称“东方机场”）</w:t>
      </w:r>
      <w:r>
        <w:rPr>
          <w:rFonts w:hint="eastAsia" w:ascii="Times New Roman" w:hAnsi="Times New Roman" w:eastAsia="仿宋_GB2312" w:cs="Times New Roman"/>
          <w:kern w:val="0"/>
          <w:sz w:val="32"/>
          <w:szCs w:val="32"/>
        </w:rPr>
        <w:t>前期准备工作。积极沟通国家与海南省有关部门，争取尽快批复东方机场建设项目并列入海南省和国家民航发展“十四五”规划，重点发展国际货运业务、兼顾客运业务，打造货运为主、客运为辅的航空物流国际枢纽机场。加快机场论证工作，尽早确定机场选址。尽快编制机场项目预可研和可研报告，争取“十四五”中后期开工建设，末期建成并具备运营条件，实现机场开通与自贸港全岛封关同步。</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高标准建设</w:t>
      </w:r>
      <w:r>
        <w:rPr>
          <w:rFonts w:hint="eastAsia" w:ascii="Times New Roman" w:hAnsi="Times New Roman" w:eastAsia="仿宋_GB2312" w:cs="Times New Roman"/>
          <w:kern w:val="0"/>
          <w:sz w:val="32"/>
          <w:szCs w:val="32"/>
          <w:lang w:eastAsia="zh-CN"/>
        </w:rPr>
        <w:t>东方机场</w:t>
      </w:r>
      <w:r>
        <w:rPr>
          <w:rFonts w:hint="eastAsia" w:ascii="Times New Roman" w:hAnsi="Times New Roman" w:eastAsia="仿宋_GB2312" w:cs="Times New Roman"/>
          <w:kern w:val="0"/>
          <w:sz w:val="32"/>
          <w:szCs w:val="32"/>
        </w:rPr>
        <w:t>。按照货运枢纽和客运支线机场的定位，设计建设4E级标准跑道，引进社会资本参与机场的建设和运营，分期配套建设物流中心、仓储中心、分拣中心、冷链中心、特种货物处理中心、加工制造中心等临空经济区基础设施，以及航站楼、口岸查验等机场货运和客运设施，同步建设机场集疏运通道，满足未来货物处理和旅客吞吐要求。积极申建航空口岸和水果、水产品、肉类、药品等指定口岸，为扩大国际物流奠定基础。与机场建设同步规划空港产业园及物流园区，及时调整空间等规划，按照1万亩标准，为临空经济区发展预留足够空间，发展机场物流和临空加工业务。</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前谋划航线网络。发挥机场区位优势，协调放宽空域管制，积极开辟培育国际国内航线，加强与国内外航空公司和物流公司合作，给予航线补贴，近期发展全货机运输，远期开展客运业务和国内航线。突出东方机场货运特色，与海口、三亚机场联动错位发展，共同构建海南省“三主多辅”的机场布局。建立完善陆空、空铁、海空衔接的现代综合运输体系，提升货运中转和集疏能力，研究建设东方机场与海口、三亚机场的铁路公路便捷通道，加强航空货物在机场间快速流转。借鉴鄂州货运机场经验，研究机场运营模式，争取国内外大型物流公司参与机场建设运营管理。</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逐步扩大空运品种。大力发展进口加工类、国际中转类航空运输。重点进口电子信息、消费电子、精密化学品、生物制剂、精密仪器等原材料、零部件等，用于加工后销往内地市场。着力进口化妆品、轻奢产品、高端消费品、高端生鲜、高端食品等，设立进口前置集货仓，用于离岛免税或内地跨境电商进口。吸引内地货物经东方机场中转出口，设立出口集货仓，推动航空运输进出基本平衡。</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做大机场航空物流。利用海南自贸港“零关税”、离岛免税等政策，参照香港机场货运模式，依托临空经济区，创新发展航空保税仓储物流、国际国内配送、货物集拆混拼、进口商品展销、国际国内中转、跨境电商等航空物流业务，不断提高航空物流增值率。根据航线网络，着力发展东南亚、南亚、澳洲、非洲与日本、韩国</w:t>
      </w:r>
      <w:r>
        <w:rPr>
          <w:rFonts w:hint="eastAsia" w:ascii="Times New Roman" w:hAnsi="Times New Roman" w:eastAsia="仿宋_GB2312" w:cs="Times New Roman"/>
          <w:kern w:val="0"/>
          <w:sz w:val="32"/>
          <w:szCs w:val="32"/>
          <w:lang w:eastAsia="zh-CN"/>
        </w:rPr>
        <w:t>等地区和国家</w:t>
      </w:r>
      <w:r>
        <w:rPr>
          <w:rFonts w:hint="eastAsia" w:ascii="Times New Roman" w:hAnsi="Times New Roman" w:eastAsia="仿宋_GB2312" w:cs="Times New Roman"/>
          <w:kern w:val="0"/>
          <w:sz w:val="32"/>
          <w:szCs w:val="32"/>
        </w:rPr>
        <w:t>的国际货运中转，大力发展境外与内地的国内外货物中转业务，加快融入国际航空物流供应链网络，构建连接印度洋、太平洋的航空物流通道，到2035年，基本建成面向两洋的区域性国际航运物流枢纽。</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28" w:name="_Toc61275580"/>
      <w:r>
        <w:rPr>
          <w:rFonts w:hint="eastAsia" w:ascii="Times New Roman" w:hAnsi="Times New Roman" w:eastAsia="楷体_GB2312" w:cs="Times New Roman"/>
        </w:rPr>
        <w:t>第二节  支持八所港口转型升级</w:t>
      </w:r>
      <w:bookmarkEnd w:id="28"/>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新建码头等基础设施。建设八所港新港区二万吨级石化产品配套液体化工码头，主要服务于临港</w:t>
      </w:r>
      <w:r>
        <w:rPr>
          <w:rFonts w:hint="eastAsia" w:ascii="Times New Roman" w:hAnsi="Times New Roman" w:eastAsia="仿宋_GB2312" w:cs="Times New Roman"/>
          <w:kern w:val="0"/>
          <w:sz w:val="32"/>
          <w:szCs w:val="32"/>
          <w:lang w:eastAsia="zh-CN"/>
        </w:rPr>
        <w:t>产业</w:t>
      </w:r>
      <w:r>
        <w:rPr>
          <w:rFonts w:hint="eastAsia" w:ascii="Times New Roman" w:hAnsi="Times New Roman" w:eastAsia="仿宋_GB2312" w:cs="Times New Roman"/>
          <w:kern w:val="0"/>
          <w:sz w:val="32"/>
          <w:szCs w:val="32"/>
        </w:rPr>
        <w:t>园新增丙烯腈、碳酸二甲酯、甲醇、丙酮、苯酚、凝析油等原材料和成品装卸运输；根据临港</w:t>
      </w:r>
      <w:r>
        <w:rPr>
          <w:rFonts w:hint="eastAsia" w:ascii="Times New Roman" w:hAnsi="Times New Roman" w:eastAsia="仿宋_GB2312" w:cs="Times New Roman"/>
          <w:kern w:val="0"/>
          <w:sz w:val="32"/>
          <w:szCs w:val="32"/>
          <w:lang w:eastAsia="zh-CN"/>
        </w:rPr>
        <w:t>产业</w:t>
      </w:r>
      <w:r>
        <w:rPr>
          <w:rFonts w:hint="eastAsia" w:ascii="Times New Roman" w:hAnsi="Times New Roman" w:eastAsia="仿宋_GB2312" w:cs="Times New Roman"/>
          <w:kern w:val="0"/>
          <w:sz w:val="32"/>
          <w:szCs w:val="32"/>
        </w:rPr>
        <w:t>园招商进度，建设五万吨级化工品贸易配套液体化工码头工程，主要服务于低温液氨、低温丙烷等装卸运输。实施危险化学品港区五万吨级航道疏浚工程，提升船舶通过能力。</w:t>
      </w:r>
      <w:r>
        <w:rPr>
          <w:rFonts w:hint="eastAsia" w:ascii="Times New Roman" w:hAnsi="Times New Roman" w:eastAsia="仿宋_GB2312" w:cs="Times New Roman"/>
          <w:kern w:val="0"/>
          <w:sz w:val="32"/>
          <w:szCs w:val="32"/>
          <w:lang w:eastAsia="zh-CN"/>
        </w:rPr>
        <w:t>扩大八所港吞吐能力，探索推进八所港货运码头南迁工作，启动集装箱、客滚船、游轮等专用泊位建设，扩建后方物流场地。</w:t>
      </w:r>
      <w:r>
        <w:rPr>
          <w:rFonts w:hint="eastAsia" w:ascii="Times New Roman" w:hAnsi="Times New Roman" w:eastAsia="仿宋_GB2312" w:cs="Times New Roman"/>
          <w:kern w:val="0"/>
          <w:sz w:val="32"/>
          <w:szCs w:val="32"/>
        </w:rPr>
        <w:t>研究建设石化储罐，满足临港产业园化工品原料和产品进出、货物中转物流需求。提升港口集疏运体系，推动八所港疏港支线铁路延伸至机场，新建港口集疏运公路，实现货运交通与社会交通相分离，完善港铁空联运设施，打造集机场、港口、产业园一体的海陆空综合交通运输体系。建设边境贸易作业港区，加快口岸封关基础设施建设，尽早具备封关条件。</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积极开辟港口新航线。重点发展八所港至越南航运业务，率先开通至越南盖邻港、海防港的客货滚装运输航线，支撑对越南边境贸易恢复发展。加强与中远海运等船公司合作，开通到越南岘港、海防的集装箱运输航线，适时将航线拓展到越南其它港口和东南亚地区枢纽港口，推动越南至香港等集装箱航线加挂八所港。探索自贸港条件下国际海运新模式，逐步提升港口集装箱业务比重，推动港口转型升级，将八所港打造成为中国—东盟的区域性国际港口和海上物流中心。</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扩大港口吞吐规模。利用铁路优势推动“公改铁”，加快腹地货物“散改集”，研究申建水产品、肉类、粮食、木材等港口指定口岸，降低运输成本，促进港口运输集约化发展。加强与</w:t>
      </w:r>
      <w:r>
        <w:rPr>
          <w:rFonts w:hint="eastAsia" w:ascii="Times New Roman" w:hAnsi="Times New Roman" w:eastAsia="仿宋_GB2312" w:cs="Times New Roman"/>
          <w:kern w:val="0"/>
          <w:sz w:val="32"/>
          <w:szCs w:val="32"/>
          <w:lang w:eastAsia="zh-CN"/>
        </w:rPr>
        <w:t>省内其他</w:t>
      </w:r>
      <w:r>
        <w:rPr>
          <w:rFonts w:hint="eastAsia" w:ascii="Times New Roman" w:hAnsi="Times New Roman" w:eastAsia="仿宋_GB2312" w:cs="Times New Roman"/>
          <w:kern w:val="0"/>
          <w:sz w:val="32"/>
          <w:szCs w:val="32"/>
        </w:rPr>
        <w:t>工业园区合作，提高腹地揽货能力。在做大传统煤炭、石化等基础上，发挥自贸港和临港产业园优势，扩大从越南等东盟国家用于加工的初级产品、工业原材料等货物进口，增加对东盟国家等的工业制成品出口，扩大与角港口群的货物往来。积极推动八所港参与全省“四方五港”资源整合，坚持与洋浦港联动合作、错位发展，打造西部陆海新通道综合大港。</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高港口服务能级。引入国际知名港口运营商，以新港区和集装箱业务为重点，加快港口自动化智能化建设，提高港口管理水平，为临港产业园发展提供优质服务。在港口装卸基础上，扩大港口物流、码头总包等业务，拓展港口功能，延伸港口服务链，实现港口由散货码头向集装箱码头、危化品码头向公用码头的转变，提高港口的区域竞争力。</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29" w:name="_Toc61275581"/>
      <w:r>
        <w:rPr>
          <w:rFonts w:hint="eastAsia" w:ascii="Times New Roman" w:hAnsi="Times New Roman" w:eastAsia="楷体_GB2312" w:cs="Times New Roman"/>
        </w:rPr>
        <w:t>第三节  做大做强新通道和口岸经济</w:t>
      </w:r>
      <w:bookmarkEnd w:id="29"/>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升通道经济发展水平。积极吸引国内外生产制造企业供应链、电商企业供应链、鲜活农产品供应链等头部企业进入临空经济区和临港产业园，积极开展国际国内综合物流业务，着力培育国家快递物流及冷链物流功能，打造全省冷链</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物流中心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提升物流业发展效能，实现通道经济产业集群化和规模化。</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力培育发展临空临港加工业。利用自贸港进口料件30%以上增值率进入内地免征关税政策，以电子信息、精密生产仪器加工、精密化学制品生产等行业为重点，着力发展零部件料件航空进口、临空经济区加工、产品销往内地市场的高增值加工业务。利用飞机零部件保税政策，近期开展飞机维修业务，远期发展飞机组装、飞机拆解、零部件生产等中高端业务。依托东方通用机场，培育航空旅游、飞行培训等新产业、新业态。在自贸港框架下，发展对越边境贸易，争取扩大边境贸易进口目录，增加农产品、矿产品和初级产品进口，扩大临港加工范围。优化调整临港产业区布局，在石化产业基础上，利用从东盟国家进口的初级产品、零部件等，结合临港产业园石化下游产业链优势，大力发展食品加工、纺织服装、家用电器、电子信息等产品内外兼销的加工产业，壮大临港产业园。</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outlineLvl w:val="9"/>
        <w:rPr>
          <w:rFonts w:hint="eastAsia"/>
        </w:rPr>
      </w:pPr>
      <w:r>
        <w:rPr>
          <w:rFonts w:hint="eastAsia" w:ascii="Times New Roman" w:hAnsi="Times New Roman" w:eastAsia="仿宋_GB2312" w:cs="Times New Roman"/>
          <w:kern w:val="0"/>
          <w:sz w:val="32"/>
          <w:szCs w:val="32"/>
        </w:rPr>
        <w:t>延伸发展国际贸易等产业。结合自贸港贸易、投资、跨境资金、运输往来等自由便利政策，延伸发展进出口贸易、国际转口贸易、大宗商品交易、国际金融等业务。用好燃油保税政策，开展航空保税燃油加油和储备等业务，吸引更多航空公司加油，与石化产业联动发展。</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overflowPunct/>
              <w:topLinePunct w:val="0"/>
              <w:autoSpaceDE/>
              <w:autoSpaceDN/>
              <w:bidi w:val="0"/>
              <w:adjustRightInd w:val="0"/>
              <w:snapToGrid w:val="0"/>
              <w:spacing w:before="156" w:beforeLines="50" w:line="240" w:lineRule="auto"/>
              <w:ind w:left="0" w:leftChars="0" w:right="0" w:rightChars="0" w:firstLine="0" w:firstLineChars="0"/>
              <w:jc w:val="center"/>
              <w:textAlignment w:val="auto"/>
              <w:outlineLvl w:val="9"/>
              <w:rPr>
                <w:rFonts w:ascii="Times New Roman" w:hAnsi="Times New Roman" w:eastAsia="宋体" w:cs="Times New Roman"/>
                <w:b/>
                <w:kern w:val="0"/>
                <w:sz w:val="28"/>
                <w:szCs w:val="28"/>
              </w:rPr>
            </w:pPr>
            <w:r>
              <w:rPr>
                <w:rFonts w:hint="eastAsia" w:ascii="黑体" w:hAnsi="黑体" w:eastAsia="黑体"/>
                <w:bCs/>
                <w:sz w:val="28"/>
                <w:szCs w:val="28"/>
              </w:rPr>
              <w:t>专栏</w:t>
            </w:r>
            <w:r>
              <w:rPr>
                <w:rFonts w:hint="eastAsia" w:ascii="黑体" w:hAnsi="黑体" w:eastAsia="黑体"/>
                <w:bCs/>
                <w:sz w:val="28"/>
                <w:szCs w:val="28"/>
                <w:lang w:val="en-US" w:eastAsia="zh-CN"/>
              </w:rPr>
              <w:t>4</w:t>
            </w:r>
            <w:r>
              <w:rPr>
                <w:rFonts w:hint="eastAsia" w:ascii="黑体" w:hAnsi="黑体" w:eastAsia="黑体"/>
                <w:bCs/>
                <w:sz w:val="28"/>
                <w:szCs w:val="28"/>
              </w:rPr>
              <w:t xml:space="preserve">  </w:t>
            </w:r>
            <w:r>
              <w:rPr>
                <w:rFonts w:hint="eastAsia" w:ascii="黑体" w:hAnsi="黑体" w:eastAsia="黑体"/>
                <w:bCs/>
                <w:sz w:val="28"/>
                <w:szCs w:val="28"/>
                <w:lang w:eastAsia="zh-CN"/>
              </w:rPr>
              <w:t>海南自由贸易港建设重大工程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val="0"/>
              <w:autoSpaceDN w:val="0"/>
              <w:bidi w:val="0"/>
              <w:adjustRightInd w:val="0"/>
              <w:snapToGrid w:val="0"/>
              <w:spacing w:beforeLines="0" w:afterLines="0" w:line="600" w:lineRule="exact"/>
              <w:ind w:left="0" w:leftChars="0" w:right="0" w:rightChars="0" w:firstLine="560" w:firstLineChars="200"/>
              <w:textAlignment w:val="auto"/>
              <w:outlineLvl w:val="9"/>
              <w:rPr>
                <w:rFonts w:ascii="Times New Roman" w:hAnsi="Times New Roman" w:eastAsia="楷体_GB2312" w:cs="Times New Roman"/>
                <w:kern w:val="0"/>
                <w:sz w:val="24"/>
                <w:szCs w:val="24"/>
              </w:rPr>
            </w:pPr>
            <w:r>
              <w:rPr>
                <w:rFonts w:hint="eastAsia" w:ascii="仿宋_GB2312" w:hAnsi="仿宋_GB2312" w:eastAsia="仿宋_GB2312" w:cs="仿宋_GB2312"/>
                <w:b w:val="0"/>
                <w:bCs/>
                <w:kern w:val="2"/>
                <w:sz w:val="28"/>
                <w:szCs w:val="28"/>
                <w:lang w:eastAsia="zh-CN"/>
              </w:rPr>
              <w:t>东方机场、东方机场航煤输送管道，八所港改扩建及航道疏浚工程、八所港“一线”升级改造和“二线口岸”查验设施设备建设项目，邮件快件物流园区项目，空港产业园区项目等。</w:t>
            </w:r>
          </w:p>
        </w:tc>
      </w:tr>
    </w:tbl>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kern w:val="0"/>
          <w:sz w:val="32"/>
          <w:szCs w:val="32"/>
        </w:rPr>
      </w:pPr>
    </w:p>
    <w:p>
      <w:pPr>
        <w:keepNext w:val="0"/>
        <w:keepLines w:val="0"/>
        <w:pageBreakBefore w:val="0"/>
        <w:widowControl/>
        <w:kinsoku/>
        <w:wordWrap/>
        <w:overflowPunct/>
        <w:topLinePunct w:val="0"/>
        <w:bidi w:val="0"/>
        <w:spacing w:line="600" w:lineRule="exact"/>
        <w:ind w:left="0" w:leftChars="0" w:right="0" w:rightChars="0"/>
        <w:jc w:val="left"/>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bidi w:val="0"/>
        <w:adjustRightInd w:val="0"/>
        <w:snapToGrid w:val="0"/>
        <w:spacing w:line="600" w:lineRule="exact"/>
        <w:ind w:left="0" w:leftChars="0" w:right="0" w:rightChars="0"/>
        <w:jc w:val="center"/>
        <w:textAlignment w:val="auto"/>
        <w:outlineLvl w:val="0"/>
        <w:rPr>
          <w:rFonts w:ascii="Times New Roman" w:hAnsi="Times New Roman" w:eastAsia="黑体" w:cs="Times New Roman"/>
          <w:bCs/>
          <w:kern w:val="44"/>
          <w:sz w:val="32"/>
          <w:szCs w:val="32"/>
        </w:rPr>
      </w:pPr>
      <w:bookmarkStart w:id="30" w:name="_Toc61275582"/>
      <w:r>
        <w:rPr>
          <w:rFonts w:ascii="Times New Roman" w:hAnsi="Times New Roman" w:eastAsia="黑体" w:cs="Times New Roman"/>
          <w:bCs/>
          <w:kern w:val="44"/>
          <w:sz w:val="32"/>
          <w:szCs w:val="32"/>
        </w:rPr>
        <w:t xml:space="preserve">第六章  </w:t>
      </w:r>
      <w:r>
        <w:rPr>
          <w:rFonts w:hint="eastAsia" w:ascii="Times New Roman" w:hAnsi="Times New Roman" w:eastAsia="黑体" w:cs="Times New Roman"/>
          <w:bCs/>
          <w:kern w:val="44"/>
          <w:sz w:val="32"/>
          <w:szCs w:val="32"/>
        </w:rPr>
        <w:t>积极推动高质量发展，建设现代化经济体系</w:t>
      </w:r>
      <w:bookmarkEnd w:id="30"/>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抓住国家扩大内需战略机遇，深化供给侧结构性改革，调整优化传统产业，坚持创新驱动发展，大力发展特色旅游业和数字经济，积极推动生产性服务业向专业化和价值链高端延伸，高质量发展海洋经济，推动经济体系优化升级，提高经济质量效益和核心竞争力。</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1" w:name="_Toc61275583"/>
      <w:r>
        <w:rPr>
          <w:rFonts w:hint="eastAsia" w:ascii="Times New Roman" w:hAnsi="Times New Roman" w:eastAsia="楷体_GB2312" w:cs="Times New Roman"/>
        </w:rPr>
        <w:t>第一节  持续推动扩大内需和有效投资</w:t>
      </w:r>
      <w:bookmarkEnd w:id="31"/>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着力扩大有效投资。围绕产业发展关键领域和环节，聚焦强龙头、补链条、创品牌，谋划提升产业基础能力和产业链水平的重大项目。吸引重大科创平台、战略性新兴产业、现代化产业链投资，加快补齐各领域短板，扩大企业设备更新和技术改造投资。创新投融资机制，激发民间投资活力；优化政府投资使用方向和方式，发挥引导带动作用；拓展重大项目境内外融资渠道，扩大直接融资。创新政府服务管理方式，探索建立并逐步推行投资项目审批首问负责制，进一步规范、精简审批环节和事项，提高审批效率。有效破除重大项目建设面临的制度瓶颈，及时跟踪解决项目审批堵点、难点问题，高质量推进重大项目建设。</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力促进消费扩容提质。积极融入国内大循环，增强消费对经济发展的基础性作用，坚持扩大内需，全面促进消费。发展地方经济，促进消费回流，繁荣城乡消费，将东方打造为重要的区域消费中心。高品质建设商业综合体，高标准布局建设具有国际影响力的高品位步行街、大型消费商圈和中高端商品保税展示交易中心。支持商业转型升级，加快发展电子商务，推行连锁经营、特许经营、直销配送等新型商业模式，构建便利消费、便民生活服务体系。推动零售业转变和创新经营模式，着力压减物流等中间环节成本，通过精准营销、协同管理提高规模效益，改善消费体验。</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2" w:name="_Toc61275584"/>
      <w:r>
        <w:rPr>
          <w:rFonts w:hint="eastAsia" w:ascii="Times New Roman" w:hAnsi="Times New Roman" w:eastAsia="楷体_GB2312" w:cs="Times New Roman"/>
        </w:rPr>
        <w:t>第二节  加快发展特色旅游</w:t>
      </w:r>
      <w:bookmarkEnd w:id="32"/>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创建特色旅游景区。持续推进全域旅游向纵深发展。发展滨海旅游，打造“醉美</w:t>
      </w:r>
      <w:r>
        <w:rPr>
          <w:rFonts w:hint="eastAsia" w:ascii="Times New Roman" w:hAnsi="Times New Roman" w:eastAsia="仿宋_GB2312" w:cs="Times New Roman"/>
          <w:kern w:val="0"/>
          <w:sz w:val="32"/>
          <w:szCs w:val="32"/>
          <w:lang w:eastAsia="zh-CN"/>
        </w:rPr>
        <w:t>落日</w:t>
      </w:r>
      <w:r>
        <w:rPr>
          <w:rFonts w:hint="eastAsia" w:ascii="Times New Roman" w:hAnsi="Times New Roman" w:eastAsia="仿宋_GB2312" w:cs="Times New Roman"/>
          <w:kern w:val="0"/>
          <w:sz w:val="32"/>
          <w:szCs w:val="32"/>
        </w:rPr>
        <w:t>”景观带，</w:t>
      </w:r>
      <w:r>
        <w:rPr>
          <w:rFonts w:hint="eastAsia" w:ascii="Times New Roman" w:hAnsi="Times New Roman" w:eastAsia="仿宋_GB2312" w:cs="Times New Roman"/>
          <w:kern w:val="0"/>
          <w:sz w:val="32"/>
          <w:szCs w:val="32"/>
          <w:lang w:eastAsia="zh-CN"/>
        </w:rPr>
        <w:t>探索建设</w:t>
      </w:r>
      <w:r>
        <w:rPr>
          <w:rFonts w:hint="eastAsia" w:ascii="Times New Roman" w:hAnsi="Times New Roman" w:eastAsia="仿宋_GB2312" w:cs="Times New Roman"/>
          <w:kern w:val="0"/>
          <w:sz w:val="32"/>
          <w:szCs w:val="32"/>
        </w:rPr>
        <w:t>金月湾国家级旅游度假区，重点引进东方赛车科技谷项目，建设海南省西部唯一的国际级汽车赛事平台和汽车主题休闲旅游目的地。积极推动俄贤岭5A景区创建，解决多规合一点状供地问题，确保项目建设的规范性。加快推进自然瑰宝园、永涛花梨庄园、鱼鳞洲等3A景区创建，协调推进仙居谷、雅龙小桂林等景区建设，完善旅游公共服务设施，提高旅游服务水平。打通环岛旅游公路和环海南热带雨林国家公园旅游专线的横向连接，带动沿途景区景点和特色乡村旅游发展，打造山海联动旅游发展格局。围绕国际旅游消费中心建设，推动旅游与文化、体育、健康医疗、休闲度假等深度融合。全力促进东方国际旅游消费，积极推进入境旅游发展。</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开发特色旅游产品。统筹衔接生态旅游开发与生态资源保护，以美丽海南百镇千村建设为抓手，创建一批具有生态旅游、黎苗文化特色的美丽乡村，连片开发东河镇、天安乡、江边乡旅游资源，结合库区、渔村、共享农庄等发展休闲游，打造黎苗民族特色旅游文化标志性产品。利用解放海南烈士陵园、侵华日军侵琼八所死难劳工纪念地、琼西中学旧址等资源打造东方红色旅游品牌。加强夜色游、自驾游、研学游、康养游、乡村游等产品打造，形成一批特色项目。</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3" w:name="_Toc61275585"/>
      <w:r>
        <w:rPr>
          <w:rFonts w:hint="eastAsia" w:ascii="Times New Roman" w:hAnsi="Times New Roman" w:eastAsia="楷体_GB2312" w:cs="Times New Roman"/>
        </w:rPr>
        <w:t>第三节  提升现代服务业发展水平</w:t>
      </w:r>
      <w:bookmarkEnd w:id="33"/>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力发展物流产业。培育建设物流园区，依托东方航空物流国际枢纽机场和八所港，大力拓展航运服务产业链，推动保税仓储、国际物流配送、转口贸易、大宗商品贸易、进口商品展销、流通加工、集装箱拆拼箱、冷链物流等业务发展。提高全球供应链服务管理能力，打造国际航运枢纽。</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积极发展高等教育。加快建设海南文化旅游职业学院，以金融、旅游、文化、健康、教育为主要方向，培育形成与东方经济社会发展格局和水平相适应、产教深度融合、中等职业教育与高等职业教育有机衔接、职业教育与普通教育互通互补，学校、企业、社会多元办学，体现终身教育理念，具有东方特色和全省领先水平的现代高等教育体系。引进国际优质教育资源，建设高水平国际学校。</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加快发展金融业。</w:t>
      </w:r>
      <w:r>
        <w:rPr>
          <w:rFonts w:hint="eastAsia" w:ascii="Times New Roman" w:hAnsi="Times New Roman" w:eastAsia="仿宋_GB2312" w:cs="Times New Roman"/>
          <w:kern w:val="0"/>
          <w:sz w:val="32"/>
          <w:szCs w:val="32"/>
          <w:lang w:eastAsia="zh-CN"/>
        </w:rPr>
        <w:t>建立健全政企银沟通衔接机制。</w:t>
      </w:r>
      <w:r>
        <w:rPr>
          <w:rFonts w:hint="eastAsia" w:ascii="Times New Roman" w:hAnsi="Times New Roman" w:eastAsia="仿宋_GB2312" w:cs="Times New Roman"/>
          <w:kern w:val="0"/>
          <w:sz w:val="32"/>
          <w:szCs w:val="32"/>
        </w:rPr>
        <w:t>鼓励境内外金融机构在东方设立分支机构和后台服务中心，吸引结算、交易类项目落地。围绕海南“三区一中心”战略定位，优化信贷资源配置结构，加大对自贸港建设相关项目的信贷支持力度。积极发展融资租赁、产业链融资、供应链融资票据等产品和服务。通过创新风险分担手段，加大对制造业中长期贷款、研发创新、设备更新、并购整合贷款的投放力度。</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鼓励发展论坛与会展经济。依托上合组织青年会议，围绕东方山海资源规划会展产业，探索打造与“博鳌亚洲论坛”东西两翼齐飞的“东方上合组织论坛”，大力发展东方特色会展经济。重点发展热带农业、旅游、海洋等主题展会，打造专业化、主题性展销会品牌，引进和策划具有国际影响力的会议、论坛和展览。</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4" w:name="_Toc61275586"/>
      <w:r>
        <w:rPr>
          <w:rFonts w:hint="eastAsia" w:ascii="Times New Roman" w:hAnsi="Times New Roman" w:eastAsia="楷体_GB2312" w:cs="Times New Roman"/>
        </w:rPr>
        <w:t>第四节  繁荣发展文体产业</w:t>
      </w:r>
      <w:bookmarkEnd w:id="34"/>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繁荣发展文化产业。深度挖掘和保护黎锦纺染织绣传统技艺和文物资源，加强重点文物和非物质文化遗产保护、传承和发展，修复开发白查船形屋、感恩学宫等一批历史文化古迹。推动黎苗文化、红色文化、感恩文化、花梨文化等本土文化创造性转化、创新性发展。加快推进广播电视传统媒体与新媒体融合发展和运营体制制度改革创新。充分发挥文化广场功能，依托文化广场争取引进外资演出经纪机构和经营单位，打造全省独一无二的节目，提升公共文化服务水平。依托文化广场歌舞剧院，引进国内外优质文化艺术赛事、真人秀、系列主题剧场以及系列艺术节活动。培育文化演艺娱乐、节庆会展赛事等产业。积极发展新型文化企业，培育文化产业新业态。</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力发展体育产业。推动国家级海南国际电竞资产登记中心、体育旅游区块链创新产业中心及文化体育产业基地建设发展。依托体育旅游区块链项目，引入东方擂格斗赛、中华垂钓大赛、电竞比赛、沙滩排球青年赛、沙滩狂欢节等体育赛事活动，扩大国内外影响力。加大体育基础设施建设，推进国家体育训练南方基地和体育中心建设。大力发展低空运动、沙滩运动、水上运动、赛车运动、电子竞技等项目，吸引知名赛事落户东方，打造赛车、垂钓、跳伞等知名赛事品牌。推动“体育+”产业融合发展，建设具备中高端体育旅游装备研发、组装、制造等功能的体育产业园，打造东方时尚体育之城。继续办好环岛自行车赛、大众巡回帆船赛等常规赛事和活动。</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5" w:name="_Toc61275587"/>
      <w:r>
        <w:rPr>
          <w:rFonts w:hint="eastAsia" w:ascii="Times New Roman" w:hAnsi="Times New Roman" w:eastAsia="楷体_GB2312" w:cs="Times New Roman"/>
        </w:rPr>
        <w:t>第五节  培育壮大高新技术产业</w:t>
      </w:r>
      <w:bookmarkEnd w:id="35"/>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力发展绿色精细化工产业。依托临港产业优势，利用国内外两种资源、两个市场，发展以功能高分子材料为主导的油气化工产业。着力提高产品的质量和技术含量，重点开发国际领先水平的高端精细化工产品，努力提高专业化程度，增强精细化工产业集群的布局效应，打造产品完备、附加值高、应变能力强的产值链。依托华盛新材料等龙头企业，重点发展“甲醇、尿素等—碳酸二甲酯—碳酸二苯酯—聚碳酸酯”加快发展“甲醇—苯胺、甲醛—MDA—MDI—聚氨酯”“甲醇—碳酸二甲酯—TDI—聚氨酯”等新型精细化工产业链，有效完善积极完善“原油—烯烃—丙烯腈”“甲基丙烯酸甲酯—聚甲基丙烯酸甲酯（PMMA）、聚丙烯酰胺（PAM）、ABS树脂、丁晴橡胶”产业链。积极向上下游产业链整合化、装置规模大型化、集聚企业协作化、配套设施绿色化、生产定位市场化方向发展，形成从炼油、燃料、乙烯、丙烯、芳烃、甲醇到化工新材料、精细化工、工程塑料等具有纵向发展潜力的上下游一体化产业格局。抓好国家成品油储备库等重点项目建设，打造南海石油开发后勤保障服务为主的大型成品油储备基地。</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培育新兴技术产业。利用金月湾科创园加快发展数字化、生物技术、高端装备、新能源汽车、绿色环保等产业。加快推进精细化工、海工装备等制造业信息化智能化改造，加快“两化融合”进程。积极引入高水平研发团队，探索发展生物来源的医学组织工程材料、生物纤维材料、生物环境材料等高端生物材料，建设生物新材料研发制造基地。优化新能源汽车应用环境，探索推动新能源汽车关键零部件制造、整车制造、展示体验、造型设计等环节协同发展，安全高效发展循环经济，积极发展MDI/TDI废弃物制新型树脂、废矿物油制轻质燃料油等绿色环保产业，探索发展生物降解塑料产业。</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topLinePunct w:val="0"/>
              <w:bidi w:val="0"/>
              <w:adjustRightInd w:val="0"/>
              <w:snapToGrid w:val="0"/>
              <w:spacing w:before="156" w:beforeLines="50" w:line="240" w:lineRule="auto"/>
              <w:ind w:left="0" w:leftChars="0" w:right="0" w:rightChars="0"/>
              <w:jc w:val="center"/>
              <w:textAlignment w:val="auto"/>
              <w:rPr>
                <w:rFonts w:ascii="Times New Roman" w:hAnsi="Times New Roman" w:eastAsia="楷体_GB2312" w:cs="Times New Roman"/>
                <w:b/>
                <w:kern w:val="0"/>
                <w:sz w:val="28"/>
                <w:szCs w:val="28"/>
              </w:rPr>
            </w:pPr>
            <w:r>
              <w:rPr>
                <w:rFonts w:hint="eastAsia" w:ascii="黑体" w:hAnsi="黑体" w:eastAsia="黑体"/>
                <w:bCs/>
                <w:sz w:val="28"/>
                <w:szCs w:val="28"/>
              </w:rPr>
              <w:t>专栏</w:t>
            </w:r>
            <w:r>
              <w:rPr>
                <w:rFonts w:hint="eastAsia" w:ascii="黑体" w:hAnsi="黑体" w:eastAsia="黑体"/>
                <w:bCs/>
                <w:sz w:val="28"/>
                <w:szCs w:val="28"/>
                <w:lang w:val="en-US" w:eastAsia="zh-CN"/>
              </w:rPr>
              <w:t>5</w:t>
            </w:r>
            <w:r>
              <w:rPr>
                <w:rFonts w:hint="eastAsia" w:ascii="黑体" w:hAnsi="黑体" w:eastAsia="黑体"/>
                <w:bCs/>
                <w:sz w:val="28"/>
                <w:szCs w:val="28"/>
              </w:rPr>
              <w:t xml:space="preserve">  高新技术产业重点项目一览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kern w:val="2"/>
                <w:sz w:val="28"/>
                <w:szCs w:val="28"/>
              </w:rPr>
              <w:t>天然气精细化工项目：</w:t>
            </w:r>
            <w:r>
              <w:rPr>
                <w:rFonts w:hint="eastAsia" w:ascii="仿宋_GB2312" w:hAnsi="仿宋_GB2312" w:eastAsia="仿宋_GB2312" w:cs="仿宋_GB2312"/>
                <w:b w:val="0"/>
                <w:bCs/>
                <w:kern w:val="2"/>
                <w:sz w:val="28"/>
                <w:szCs w:val="28"/>
              </w:rPr>
              <w:t>华盛非光气法聚碳酸酯生产二期项目、中海油120万吨天然气制甲醇项目、30万吨甲醇制烯烃（MTO）项目</w:t>
            </w:r>
            <w:r>
              <w:rPr>
                <w:rFonts w:hint="eastAsia" w:ascii="仿宋_GB2312" w:hAnsi="仿宋_GB2312" w:eastAsia="仿宋_GB2312" w:cs="仿宋_GB2312"/>
                <w:b w:val="0"/>
                <w:bCs/>
                <w:kern w:val="2"/>
                <w:sz w:val="28"/>
                <w:szCs w:val="28"/>
                <w:lang w:eastAsia="zh-CN"/>
              </w:rPr>
              <w:t>等</w:t>
            </w:r>
            <w:r>
              <w:rPr>
                <w:rFonts w:hint="eastAsia" w:ascii="仿宋_GB2312" w:hAnsi="仿宋_GB2312" w:eastAsia="仿宋_GB2312" w:cs="仿宋_GB2312"/>
                <w:b w:val="0"/>
                <w:bCs/>
                <w:kern w:val="2"/>
                <w:sz w:val="28"/>
                <w:szCs w:val="28"/>
              </w:rPr>
              <w:t>。</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kern w:val="2"/>
                <w:sz w:val="28"/>
                <w:szCs w:val="28"/>
              </w:rPr>
              <w:t>石油精细化工项目：</w:t>
            </w:r>
            <w:r>
              <w:rPr>
                <w:rFonts w:hint="eastAsia" w:ascii="仿宋_GB2312" w:hAnsi="仿宋_GB2312" w:eastAsia="仿宋_GB2312" w:cs="仿宋_GB2312"/>
                <w:b w:val="0"/>
                <w:bCs/>
                <w:kern w:val="2"/>
                <w:sz w:val="28"/>
                <w:szCs w:val="28"/>
              </w:rPr>
              <w:t>中海油东方石化新建炼油项目、中海油20万吨丙烯腈项目、ABS树脂项目、PMMA项目、碳纤维等化工新材料项目</w:t>
            </w:r>
            <w:r>
              <w:rPr>
                <w:rFonts w:hint="eastAsia" w:ascii="仿宋_GB2312" w:hAnsi="仿宋_GB2312" w:eastAsia="仿宋_GB2312" w:cs="仿宋_GB2312"/>
                <w:b w:val="0"/>
                <w:bCs/>
                <w:kern w:val="2"/>
                <w:sz w:val="28"/>
                <w:szCs w:val="28"/>
                <w:lang w:eastAsia="zh-CN"/>
              </w:rPr>
              <w:t>等</w:t>
            </w:r>
            <w:r>
              <w:rPr>
                <w:rFonts w:hint="eastAsia" w:ascii="仿宋_GB2312" w:hAnsi="仿宋_GB2312" w:eastAsia="仿宋_GB2312" w:cs="仿宋_GB2312"/>
                <w:b w:val="0"/>
                <w:bCs/>
                <w:kern w:val="2"/>
                <w:sz w:val="28"/>
                <w:szCs w:val="28"/>
              </w:rPr>
              <w:t>。</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ascii="Times New Roman" w:hAnsi="Times New Roman" w:eastAsia="楷体_GB2312" w:cs="Times New Roman"/>
                <w:kern w:val="0"/>
                <w:sz w:val="24"/>
                <w:szCs w:val="24"/>
              </w:rPr>
            </w:pPr>
            <w:r>
              <w:rPr>
                <w:rFonts w:hint="eastAsia" w:ascii="楷体_GB2312" w:eastAsia="楷体_GB2312" w:hAnsiTheme="minorHAnsi" w:cstheme="minorBidi"/>
                <w:b/>
                <w:kern w:val="2"/>
                <w:sz w:val="28"/>
                <w:szCs w:val="28"/>
              </w:rPr>
              <w:t>循环经济项目：</w:t>
            </w:r>
            <w:r>
              <w:rPr>
                <w:rFonts w:hint="eastAsia" w:ascii="仿宋_GB2312" w:hAnsi="仿宋_GB2312" w:eastAsia="仿宋_GB2312" w:cs="仿宋_GB2312"/>
                <w:b w:val="0"/>
                <w:bCs/>
                <w:kern w:val="2"/>
                <w:sz w:val="28"/>
                <w:szCs w:val="28"/>
              </w:rPr>
              <w:t>3000万立方纸面石膏板生产线项目、年处理60万吨工业垃圾生产3.58万吨新型环保建材外加剂生产基地项目、1.8亿元废矿物油综合利用项目</w:t>
            </w:r>
            <w:r>
              <w:rPr>
                <w:rFonts w:hint="eastAsia" w:ascii="仿宋_GB2312" w:hAnsi="仿宋_GB2312" w:eastAsia="仿宋_GB2312" w:cs="仿宋_GB2312"/>
                <w:b w:val="0"/>
                <w:bCs/>
                <w:kern w:val="2"/>
                <w:sz w:val="28"/>
                <w:szCs w:val="28"/>
                <w:lang w:eastAsia="zh-CN"/>
              </w:rPr>
              <w:t>等</w:t>
            </w:r>
            <w:r>
              <w:rPr>
                <w:rFonts w:hint="eastAsia" w:ascii="仿宋_GB2312" w:hAnsi="仿宋_GB2312" w:eastAsia="仿宋_GB2312" w:cs="仿宋_GB2312"/>
                <w:b w:val="0"/>
                <w:bCs/>
                <w:kern w:val="2"/>
                <w:sz w:val="28"/>
                <w:szCs w:val="28"/>
              </w:rPr>
              <w:t>。</w:t>
            </w:r>
          </w:p>
        </w:tc>
      </w:tr>
    </w:tbl>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6" w:name="_Toc61275588"/>
      <w:r>
        <w:rPr>
          <w:rFonts w:hint="eastAsia" w:ascii="Times New Roman" w:hAnsi="Times New Roman" w:eastAsia="楷体_GB2312" w:cs="Times New Roman"/>
        </w:rPr>
        <w:t>第六节  大力发展海洋经济</w:t>
      </w:r>
      <w:bookmarkEnd w:id="36"/>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推动海洋渔业高质量可持续发展。高标准规划建设四更、感恩等海洋牧场示范区，积极建设资源游钓型鱼礁和养护型鱼礁，大力开展卵形鲳鲹、红鳍笛鲷、紫红笛鲷、青石斑鱼、文蛤贝、贻贝、泥蚶、牡蛎、菲律宾蛤、马氏珠母贝、方斑东风螺等优质海产品增殖放流。重点培育深海网箱养殖业，积极建设集旅游观光、远洋渔业为一体的渔港经济区，推动渔业经济转型升级。完善水产良种繁育体系，深化国家级对虾种苗生物安保示范基地建设，增强品种创新改良能力、繁育养殖规模和综合生产能力，打造国家级南繁水产育种基地。加快推进墩头二级渔港新建工程，围绕八所中心渔港升级改造，建设集旅游观光、远洋渔业为一体的渔港经济区，推动渔业经济由粗放单一向精致多元转型升级。</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积极壮大海洋新兴产业。发挥自贸港政策优势，积极引进国内外知名药企和研发团队，积极发展海洋生物产业，重点开发具有民族特色用法的现代海洋中药产品，探索发展药物酶、工具酶等海洋特色酶制剂产品以及海洋功能食品。探索推动海水淡化水进入市政供水管网，加快推动海水冷却技术在石油化工、天然气化工等高耗水行业的规模化应用。探索发展海洋清洁能源，因地制宜合理布局海上风电产业，填补临港工业电力需求缺口。</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发展游艇和海洋装备制造业。面向我国日益增长的游艇旅游需求，发挥自贸港“原产于海南或进口料件加工增值超30%的货物进入内地免征进口关税”政策优势，积极引进国内外知名游艇制造企业，打造中高端游艇及核心零部件制造基地。鼓励大型石化企业在东方布局海上钻井平台的维修、保养和补给服务。面向南海油气资源开发需求，积极引入智能化技术，发展南海油气开发设备制造业，重点发展自升式钻井平台、半潜式钻井平台、钻井船等移动式钻井设备以及半潜式生产平台、重力式生产设备等海洋油气生产设备，探索发展潜水作业船、平台供应船、大型近海起重船等海工辅助船舶以及海洋采油专用设备、海洋测井设备等高附加值海工配套装备。围绕智能感知、自主控制等功能需求，积极引入全球创新资源，探索发展信息和控制高度集成的海工装备及零部件，提升海工装备智能化水平。积极推动海工装备再制造产业体系化、规划化、系统化发展，围绕海洋牧场、深海网箱、海上风电等打造国内知名的海工装备制造及维修基地。</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topLinePunct w:val="0"/>
              <w:bidi w:val="0"/>
              <w:adjustRightInd w:val="0"/>
              <w:snapToGrid w:val="0"/>
              <w:spacing w:before="156" w:beforeLines="50" w:line="240" w:lineRule="auto"/>
              <w:ind w:left="0" w:leftChars="0" w:right="0" w:rightChars="0"/>
              <w:jc w:val="center"/>
              <w:textAlignment w:val="auto"/>
              <w:rPr>
                <w:rFonts w:ascii="Times New Roman" w:hAnsi="Times New Roman" w:eastAsia="宋体" w:cs="Times New Roman"/>
                <w:b/>
                <w:kern w:val="0"/>
                <w:sz w:val="28"/>
                <w:szCs w:val="28"/>
              </w:rPr>
            </w:pPr>
            <w:r>
              <w:rPr>
                <w:rFonts w:hint="eastAsia" w:ascii="黑体" w:hAnsi="黑体" w:eastAsia="黑体"/>
                <w:bCs/>
                <w:sz w:val="28"/>
                <w:szCs w:val="28"/>
              </w:rPr>
              <w:t>专栏</w:t>
            </w:r>
            <w:r>
              <w:rPr>
                <w:rFonts w:hint="eastAsia" w:ascii="黑体" w:hAnsi="黑体" w:eastAsia="黑体"/>
                <w:bCs/>
                <w:sz w:val="28"/>
                <w:szCs w:val="28"/>
                <w:lang w:val="en-US" w:eastAsia="zh-CN"/>
              </w:rPr>
              <w:t>6</w:t>
            </w:r>
            <w:r>
              <w:rPr>
                <w:rFonts w:hint="eastAsia" w:ascii="黑体" w:hAnsi="黑体" w:eastAsia="黑体"/>
                <w:bCs/>
                <w:sz w:val="28"/>
                <w:szCs w:val="28"/>
              </w:rPr>
              <w:t xml:space="preserve">  海洋产业重点项目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cstheme="minorBidi"/>
                <w:b/>
                <w:kern w:val="2"/>
                <w:sz w:val="28"/>
                <w:szCs w:val="28"/>
                <w:lang w:eastAsia="zh-CN"/>
              </w:rPr>
              <w:t>（一）</w:t>
            </w:r>
            <w:r>
              <w:rPr>
                <w:rFonts w:hint="eastAsia" w:ascii="楷体_GB2312" w:eastAsia="楷体_GB2312" w:hAnsiTheme="minorHAnsi" w:cstheme="minorBidi"/>
                <w:b/>
                <w:kern w:val="2"/>
                <w:sz w:val="28"/>
                <w:szCs w:val="28"/>
              </w:rPr>
              <w:t>海洋渔业项目：</w:t>
            </w:r>
            <w:r>
              <w:rPr>
                <w:rFonts w:hint="eastAsia" w:ascii="仿宋_GB2312" w:hAnsi="仿宋_GB2312" w:eastAsia="仿宋_GB2312" w:cs="仿宋_GB2312"/>
                <w:b w:val="0"/>
                <w:bCs/>
                <w:kern w:val="2"/>
                <w:sz w:val="28"/>
                <w:szCs w:val="28"/>
              </w:rPr>
              <w:t>四更海洋牧场示范区建设项目、感恩海洋牧场示范区建设项目、八所中心鱼港升级改造项目、智能深水网箱养殖示范项目、国家南繁水产育种基地项目</w:t>
            </w:r>
            <w:r>
              <w:rPr>
                <w:rFonts w:hint="eastAsia" w:ascii="仿宋_GB2312" w:hAnsi="仿宋_GB2312" w:eastAsia="仿宋_GB2312" w:cs="仿宋_GB2312"/>
                <w:b w:val="0"/>
                <w:bCs/>
                <w:kern w:val="2"/>
                <w:sz w:val="28"/>
                <w:szCs w:val="28"/>
                <w:lang w:eastAsia="zh-CN"/>
              </w:rPr>
              <w:t>、国家海洋牧场示范项目（四更）等</w:t>
            </w:r>
            <w:r>
              <w:rPr>
                <w:rFonts w:hint="eastAsia" w:ascii="仿宋_GB2312" w:hAnsi="仿宋_GB2312" w:eastAsia="仿宋_GB2312" w:cs="仿宋_GB2312"/>
                <w:b w:val="0"/>
                <w:bCs/>
                <w:kern w:val="2"/>
                <w:sz w:val="28"/>
                <w:szCs w:val="28"/>
              </w:rPr>
              <w:t>。</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ascii="Times New Roman" w:hAnsi="Times New Roman" w:eastAsia="楷体_GB2312" w:cs="Times New Roman"/>
                <w:kern w:val="0"/>
                <w:sz w:val="24"/>
                <w:szCs w:val="24"/>
              </w:rPr>
            </w:pPr>
            <w:r>
              <w:rPr>
                <w:rFonts w:hint="eastAsia" w:ascii="楷体_GB2312" w:eastAsia="楷体_GB2312" w:cstheme="minorBidi"/>
                <w:b/>
                <w:kern w:val="2"/>
                <w:sz w:val="28"/>
                <w:szCs w:val="28"/>
                <w:lang w:eastAsia="zh-CN"/>
              </w:rPr>
              <w:t>（二）</w:t>
            </w:r>
            <w:r>
              <w:rPr>
                <w:rFonts w:hint="eastAsia" w:ascii="楷体_GB2312" w:eastAsia="楷体_GB2312" w:hAnsiTheme="minorHAnsi" w:cstheme="minorBidi"/>
                <w:b/>
                <w:kern w:val="2"/>
                <w:sz w:val="28"/>
                <w:szCs w:val="28"/>
              </w:rPr>
              <w:t>海洋新兴产业项目：</w:t>
            </w:r>
            <w:r>
              <w:rPr>
                <w:rFonts w:hint="eastAsia" w:ascii="仿宋_GB2312" w:hAnsi="仿宋_GB2312" w:eastAsia="仿宋_GB2312" w:cs="仿宋_GB2312"/>
                <w:b w:val="0"/>
                <w:bCs/>
                <w:kern w:val="2"/>
                <w:sz w:val="28"/>
                <w:szCs w:val="28"/>
              </w:rPr>
              <w:t>明阳深远海能源创新开发及高端海洋装备制造</w:t>
            </w:r>
            <w:r>
              <w:rPr>
                <w:rFonts w:hint="eastAsia" w:ascii="仿宋_GB2312" w:hAnsi="仿宋_GB2312" w:eastAsia="仿宋_GB2312" w:cs="仿宋_GB2312"/>
                <w:b w:val="0"/>
                <w:bCs/>
                <w:kern w:val="2"/>
                <w:sz w:val="28"/>
                <w:szCs w:val="28"/>
                <w:lang w:eastAsia="zh-CN"/>
              </w:rPr>
              <w:t>等。</w:t>
            </w:r>
          </w:p>
        </w:tc>
      </w:tr>
    </w:tbl>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7" w:name="_Toc61275589"/>
      <w:r>
        <w:rPr>
          <w:rFonts w:hint="eastAsia" w:ascii="Times New Roman" w:hAnsi="Times New Roman" w:eastAsia="楷体_GB2312" w:cs="Times New Roman"/>
        </w:rPr>
        <w:t>第七节  推动经济数字化和智慧城市建设</w:t>
      </w:r>
      <w:bookmarkEnd w:id="37"/>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力培育新兴数字产业。推动发展跨境电商、跨境结算、跨境数据处理等行业，深化在政务、医疗、教育、交通、旅游、就业、社保、环保、应急管理、社会治理等领域的大数据应用，谋划建设区域级数据中心。借鉴澄迈软件园、复兴城西海岸互联网总部基地等园区经验，深化和在海南建设区域总部的腾讯、阿里等知名软件企业合作，重点发展数字音乐、游戏动漫、网络广告等数字内容制作软件，探索向云计算服务、“互联网+”服务等领域延伸发展，打造自贸港特色软件基地。创新发展基于区块链技术的数字货币、智能合约、保险业务、证券交易、公证业务等智能商业服务，打造国家区块链技术和产业创新发展基地。</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积极发展“互联网+”业态。加快利用信息技术改造提升传统产业，大力发展面向石油化工、海工装备等重点行业的研发设计类软件，鼓励发展订单排产、工艺工装、设备维护、远程监控、仓储管理等生产控制类软件和需求管理、决策支持、供应链优化等管理类软件以及工业APP，探索发展工业控制装置、物联网、智能电网等领域应用芯片设计。积极建设各类智慧园区、农业信息化服务平台，助力智慧能源、智慧油气、智慧化工、智慧农业发展。立足黄花梨等特色工艺品优势，积极发展个性化、专业化的B2B、B2C电子商务服务，积极发展网络教育、电子银行等多样化的互联网增值服务市场。建设“互联网+”产业园，引进国内外优秀的互联网企业入驻、孵化本地中小互联网企业，吸引高校大学毕业生、青年创业者创新创业。</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建设“智慧东方”。落实《智慧海南总体方案2020—2025》，依托全省大数据共享平台，以智慧城市CIM平台为基础，在城市治理、园区、商贸物流、交通、医疗、文旅及营商环境改善等方面开展融合创新应用，切实解决城市发展难题。进一步完善由城市物联网管理平台、城市应用支撑平台、城市数据智能中心所组成的城市智慧支撑平台，实现对城市上层智慧业务的集中支撑。探索智慧城市管理精细化，降低城市运营成本。积极构建包括“智慧园区、智慧港口”在内的“产城融合、城港一体”的城市智慧应用体系，高点定位、高效推动市融媒体中心建设，打造省内县级智慧城市标杆。</w:t>
      </w:r>
    </w:p>
    <w:p>
      <w:pPr>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p>
    <w:p>
      <w:pPr>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bidi w:val="0"/>
        <w:adjustRightInd w:val="0"/>
        <w:snapToGrid w:val="0"/>
        <w:spacing w:line="600" w:lineRule="exact"/>
        <w:ind w:left="0" w:leftChars="0" w:right="0" w:rightChars="0"/>
        <w:jc w:val="center"/>
        <w:textAlignment w:val="auto"/>
        <w:outlineLvl w:val="0"/>
        <w:rPr>
          <w:rFonts w:ascii="Times New Roman" w:hAnsi="Times New Roman" w:eastAsia="黑体" w:cs="Times New Roman"/>
          <w:bCs/>
          <w:kern w:val="44"/>
          <w:sz w:val="32"/>
          <w:szCs w:val="32"/>
        </w:rPr>
      </w:pPr>
      <w:bookmarkStart w:id="38" w:name="_Toc61275590"/>
      <w:r>
        <w:rPr>
          <w:rFonts w:ascii="Times New Roman" w:hAnsi="Times New Roman" w:eastAsia="黑体" w:cs="Times New Roman"/>
          <w:bCs/>
          <w:kern w:val="44"/>
          <w:sz w:val="32"/>
          <w:szCs w:val="32"/>
        </w:rPr>
        <w:t xml:space="preserve">第七章  </w:t>
      </w:r>
      <w:r>
        <w:rPr>
          <w:rFonts w:hint="eastAsia" w:ascii="Times New Roman" w:hAnsi="Times New Roman" w:eastAsia="黑体" w:cs="Times New Roman"/>
          <w:bCs/>
          <w:kern w:val="44"/>
          <w:sz w:val="32"/>
          <w:szCs w:val="32"/>
        </w:rPr>
        <w:t>坚持系统观念，统筹推进城乡发展</w:t>
      </w:r>
      <w:bookmarkEnd w:id="38"/>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深入实施新型城镇化战略，推进重大项目建设，保持投资合理增长，建立更加有效的城乡协调发展新机制。以规划保障“五网”基础设施建设，超前布局新型基础设施，打造系统完备、高效实用、智能绿色、安全可靠的现代化基础设施体系。</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39" w:name="_Toc61275591"/>
      <w:r>
        <w:rPr>
          <w:rFonts w:hint="eastAsia" w:ascii="Times New Roman" w:hAnsi="Times New Roman" w:eastAsia="楷体_GB2312" w:cs="Times New Roman"/>
        </w:rPr>
        <w:t>第一节  推进以人为核心的新型城镇化</w:t>
      </w:r>
      <w:bookmarkEnd w:id="39"/>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推进农业转移人口市民化。深化户籍制度改革，加快“村”改“居”，实行以公民身份证号码为唯一标识、全岛统一的的居住证制度。健全农业转移人口市民化机制，依法保障进城落户农民农村土地承包权、宅基地使用权、集体收益分配权。提升城乡公共服务能力，提高农业转移人口的教育、医疗、住房等保障水平，补齐城乡公共基础设施建设短板和弱项，支持有利于城乡区域协调发展的重大项目建设。</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升城市治理水平。完善城市空间结构，推动国土空间提质增效，维护规划的严肃性和权威性，确保“一张蓝图干到底”。稳步推进棚户区、老旧小区和农贸市场改造建设，完善提升城市功能，为市民提供舒适便利的生活环境，建设宜居城市。加强城镇社区建设，健全社区管理服务机制，提高居住小区物业服务质量，打造现代社区。强化城乡人居环境综合整治，实施城乡环卫一体化项目，抓好日常保洁、垃圾清运等工作，坚持以人民为中心，进一步丰富爱国卫生工作内涵，围绕消除影响群众健康的全局性、长期性危害因素，深入开展爱国卫生运动，积极创建国家卫生城市</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加快建设城市和农村污水处理设施项目，推进垃圾分类和资源化利用。持续推进</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厕所革命</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完善公厕卫生管理，推进农户无害化厕所改造，加强城乡结合部和农村的卫生管理。加强城市风险防控，超前规划布局城市生命线系统、应急救援系统和物资储备系统，完善应急预案，提高城市公共卫生预警救治能力和抵御冲击、应急保障、灾后恢复能力。</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40" w:name="_Toc61275592"/>
      <w:r>
        <w:rPr>
          <w:rFonts w:hint="eastAsia" w:ascii="Times New Roman" w:hAnsi="Times New Roman" w:eastAsia="楷体_GB2312" w:cs="Times New Roman"/>
        </w:rPr>
        <w:t>第二节  织密高效畅通“路网”</w:t>
      </w:r>
      <w:bookmarkEnd w:id="40"/>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完善轨道交通。适应海南省货运港区及产业布局调整，扩能改造既有西环铁路（海口-乐东货运铁路），加快融入国家铁路网，强化东方与海口及粤港澳大湾区、西部陆海新通道的互融互通。依托西环快速铁路，开展至昌江等地的城际铁路前期论证工作，便捷城际联系，支撑海南自由贸易港、国际旅游岛建设。规划实施货运机场、临港园区集疏运系统与路网的连通，推动铁路入园进港改线规划建设。</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优化公路交通网络。强化对外路网连通，完善高速公路网，完成S26东方—乐东高速建设，为融入“大三亚”旅游经济圈提供支撑。按照新一轮国省道公路网规划，推进G98环岛高速与临港产业园区和东方机场连接线开工，推动省道S314北延线、S287东延线和西延线等省道公路建设，强化与周边地区路网衔接。加快干线公路建设，提升城区公路通行能力和对外交通能力。完善市内路网结构，推动干线公路与城市道路、重要交通枢纽和重点乡镇的连接，规划建设城市快速公路系统，谋划建设改造大田至四更公路等一批新公路。推进农村公路升级，实施乡镇县道连通工程、乡道提级工程和特色村村道“白改黑”工程。提升路网休闲文旅功能，依托环岛旅游公路和路网升级，逐步推进环岛滨海—城区—城郊—景区绿道慢行系统建设。</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提升综合客运枢纽能级。加强高铁站与市区、乡镇的集疏运联系，提高汽车客运站、旅游集散服务中心、配套综合开发等综合客运枢纽综合开发水平，实现以交通引导城市发展。</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高交通服务水平。提高城乡客运服务品质，落实公交优先战略，优化公交网络效率，鼓励定班定线与电话预约、定制公交等公交经营新模式。加强城乡公交资源整合，开通跨镇大区域公交，推进城乡客运一体化，提高城乡客运服务的运行效率和经济社会效益。提升农村物流服务水平，培育农村物流市场主体，提高城乡配送网络效率，优化由市级物流中心、乡镇农村配送站、农村货运网点组成的三级农村物流节点体系，创新农村物流模式，强化邮政普遍服务，推进快递普惠发展，鼓励共同配送、集中配送等新模式。</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推广智慧交通应用。推进交通基础设施数字化，建设智慧公路，加快5G、人工智能等新技术在交通行业应用。加大交通信息化发展力度，推进公路、航道、运管、公交等交通信息资源的整合。建设“智慧交通”指挥平台，建成融公路交通、水上交通监管为一体的综合监控平台。</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41" w:name="_Toc61275593"/>
      <w:r>
        <w:rPr>
          <w:rFonts w:hint="eastAsia" w:ascii="Times New Roman" w:hAnsi="Times New Roman" w:eastAsia="楷体_GB2312" w:cs="Times New Roman"/>
        </w:rPr>
        <w:t>第三节  强化电网气网能源保障</w:t>
      </w:r>
      <w:bookmarkEnd w:id="41"/>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完善输配电网络。新建220kV变电站2座，满足临港产业园用电需求，完善周边110kV变电站网架。新建110kV变电站6座，扩建110kV变电站主变1座，满足农业种植、工业生产、开发区建设等产业和居民用电等负荷不断增长的需求。加强对临港产业园重点石化企业的供电保障，降低用电成本。支持八所港岸电系统建设，打造电能替代示范区。新建改造10千伏及以下线路和公用配电变压器区，提高户均配变容量。加快智能配电网建设，全面消除线路台区重过载及低电压情况。实施新一轮农村电网改造升级工程，提升农村生产生活用电保障水平。提高输配电效率和电网抗灾能力，消除用电隐患，到2025年，用户年均停电时间将减少至8.6小时。加大新能源充电桩建设力度，推动新能源汽车发展。</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强燃气和管网建设。优化气源结构，形成中心城区以东方1-1气田管输天然气为主气源、液化石油气（LPG）为辅助气源，乡镇镇区以液化天然气（LNG）作为主气源、液化石油气（LPG）为辅助气源，农村采用中压管输气、LNG气化站、LNG瓶组站、瓶装LPG等相结合的气源结构。新建乡镇镇区LNG气化站或瓶组站，提高储气调峰水平，保障应急供气。建设四更镇、板桥镇、东河镇、大田镇、新龙镇、三家镇等LNG气化站，保障应急供气。新建八所镇、四更镇等LNG瓶组站，提供气源为乡镇镇区或农村用户的中压输配管网供气。完善天然气输配系统，建设以东方终端站为中心的高压管网，满足石化企业、天然气发电企业、中压调压站等需求，配套敷设中压管网输配系统。推进燃气下乡“气代柴薪”和城区燃气管道建设，提升清洁能源覆盖面。新建中心城区、八所港、四更镇等LNG汽车加气站，满足新能源汽车加气需求。完善液化石油气供应体系，新建板桥镇LPG储配站和瓶组站等，为天然气管网以外的用户提供液化天然气供应服务。</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42" w:name="_Toc61275594"/>
      <w:r>
        <w:rPr>
          <w:rFonts w:hint="eastAsia" w:ascii="Times New Roman" w:hAnsi="Times New Roman" w:eastAsia="楷体_GB2312" w:cs="Times New Roman"/>
        </w:rPr>
        <w:t>第四节  加强水网设施建设</w:t>
      </w:r>
      <w:bookmarkEnd w:id="42"/>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建设综合立体绿色智慧水网。推进城乡供水、污水处理智能化管理，完善城乡供水、防洪、水生态保护修复体系，增强水安全保障能力。加快建设八所供水工程（二期），积极推进江边水厂、红泉水厂等供水工程和配套管网建设，提升对周边城区和农村的供水能力，优化水资源配置，保障饮水安全。新建改造提升供水管网，新建八所至新龙供水管道、陀兴水厂等管网延伸升级改造工程，升级改造全市中小型水厂及单村供水管网，扩大农村地区供水范围，降低漏损率，提高供水效率。加强水源地、水厂、供水管网的安全保障，防控环境风险。提标改造感城镇镇区污水处理设施及配套管网工程，提高城市和农村污水处理能力。改造提升排水管网，推进华侨经济开发区、八所城区、小岭农庄、十所村安置区等污水收集延伸和改造工程，扩大污水收集范围，提升农村生活品质，改造老旧污水管网，实现清污分离、排水防涝，保护自然水体，妥善处置城镇污泥。坚持节水优先，提高城区蓄排水能力，提升再生水回用和污水资源化利用水平。</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升水利防灾减灾能力。加强海堤达标加固，建设感恩河中游段防洪堤等工程，提升防洪防潮防台风能力，减少城市内涝，改善生态系统。加大农村水利基础设施建设，加快建设陀兴水库、大广坝高干渠等灌区续建配套与节水改造工程，改造干渠、连通水系，安装计量设施，提升恢复灌排能力，提高农业防洪抗旱能力。推进病险水库除险加固，防范山洪等自然灾害，全面消除安全隐患。</w:t>
      </w:r>
    </w:p>
    <w:p>
      <w:pPr>
        <w:pStyle w:val="4"/>
        <w:keepNext w:val="0"/>
        <w:keepLines w:val="0"/>
        <w:pageBreakBefore w:val="0"/>
        <w:kinsoku/>
        <w:wordWrap/>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43" w:name="_Toc61275595"/>
      <w:r>
        <w:rPr>
          <w:rFonts w:hint="eastAsia" w:ascii="Times New Roman" w:hAnsi="Times New Roman" w:eastAsia="楷体_GB2312" w:cs="Times New Roman"/>
        </w:rPr>
        <w:t>第五节  打造高标准信息通信网</w:t>
      </w:r>
      <w:bookmarkEnd w:id="43"/>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建设光纤宽带网。按照适度超前的原则，结合“海南光网智能岛”建设，扩容升级骨干网和城域网，打造安全稳定的通信主干光缆架构，稳步推进“千兆到镇，百兆到村”，从广度和厚度两个维度加快光纤宽带接入网的建设。按照省信息基础设施建设目标，采取升级和补盲并举，将光网向自然村和农场连队覆盖，积极布局下一代互联网，全面提升宽带接入网的领先能力，实现全市光网覆盖，打造优质、领先、高标准的信息通信网络。</w:t>
      </w:r>
    </w:p>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升移动通信网络。结合国家5G新基建和智慧海南整体战略，加快布局建设5G网络，建设一批5G物理基站和逻辑基站，提升网络性能和速率，2022年基本实现5G网络全覆盖。继续扩大公共活动场所、旅游景区、政府办公区域等的公共WIFI覆盖范围。加快5G技术应用，创新城市管理，大力推动智慧交通、智慧医疗、终端消费等城市智慧化应用，利用信息技术改造提升石化等传统产业，助推5G和“互联网+”新产业发展，建设海南西部数据交换中心，发展跨境数据产业。</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topLinePunct w:val="0"/>
              <w:bidi w:val="0"/>
              <w:adjustRightInd w:val="0"/>
              <w:snapToGrid w:val="0"/>
              <w:spacing w:before="156" w:beforeLines="50" w:line="240" w:lineRule="auto"/>
              <w:ind w:left="0" w:leftChars="0" w:right="0" w:rightChars="0"/>
              <w:jc w:val="center"/>
              <w:textAlignment w:val="auto"/>
              <w:rPr>
                <w:rFonts w:ascii="Times New Roman" w:hAnsi="Times New Roman" w:eastAsia="宋体" w:cs="Times New Roman"/>
                <w:b/>
                <w:kern w:val="0"/>
                <w:sz w:val="28"/>
                <w:szCs w:val="28"/>
              </w:rPr>
            </w:pPr>
            <w:r>
              <w:rPr>
                <w:rFonts w:hint="eastAsia" w:ascii="黑体" w:hAnsi="黑体" w:eastAsia="黑体"/>
                <w:bCs/>
                <w:sz w:val="28"/>
                <w:szCs w:val="28"/>
              </w:rPr>
              <w:t>专栏</w:t>
            </w:r>
            <w:r>
              <w:rPr>
                <w:rFonts w:hint="eastAsia" w:ascii="黑体" w:hAnsi="黑体" w:eastAsia="黑体"/>
                <w:bCs/>
                <w:sz w:val="28"/>
                <w:szCs w:val="28"/>
                <w:lang w:val="en-US" w:eastAsia="zh-CN"/>
              </w:rPr>
              <w:t>7</w:t>
            </w:r>
            <w:r>
              <w:rPr>
                <w:rFonts w:hint="eastAsia" w:ascii="黑体" w:hAnsi="黑体" w:eastAsia="黑体"/>
                <w:bCs/>
                <w:sz w:val="28"/>
                <w:szCs w:val="28"/>
              </w:rPr>
              <w:t xml:space="preserve"> </w:t>
            </w:r>
            <w:r>
              <w:rPr>
                <w:rFonts w:hint="eastAsia" w:ascii="黑体" w:hAnsi="黑体" w:eastAsia="黑体"/>
                <w:bCs/>
                <w:sz w:val="28"/>
                <w:szCs w:val="28"/>
                <w:lang w:eastAsia="zh-CN"/>
              </w:rPr>
              <w:t>五网</w:t>
            </w:r>
            <w:r>
              <w:rPr>
                <w:rFonts w:hint="eastAsia" w:ascii="黑体" w:hAnsi="黑体" w:eastAsia="黑体"/>
                <w:bCs/>
                <w:sz w:val="28"/>
                <w:szCs w:val="28"/>
              </w:rPr>
              <w:t>基础设施建设重大项目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kern w:val="2"/>
                <w:sz w:val="28"/>
                <w:szCs w:val="28"/>
                <w:lang w:eastAsia="zh-CN"/>
              </w:rPr>
              <w:t>（一）路网：</w:t>
            </w:r>
            <w:r>
              <w:rPr>
                <w:rFonts w:hint="eastAsia" w:ascii="仿宋_GB2312" w:hAnsi="仿宋_GB2312" w:eastAsia="仿宋_GB2312" w:cs="仿宋_GB2312"/>
                <w:b w:val="0"/>
                <w:bCs/>
                <w:kern w:val="2"/>
                <w:sz w:val="28"/>
                <w:szCs w:val="28"/>
              </w:rPr>
              <w:t>西环普速铁路海口至东方段扩能改造</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S26东方—乐东高速，G98环岛高速与临港产业园区和东方机场连接线</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省道S314北延线、S287东延线和西延线，乡镇县道连通工程</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乡道提级工程</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特色村村道“白改黑”工程，环岛旅游公路</w:t>
            </w:r>
            <w:r>
              <w:rPr>
                <w:rFonts w:hint="eastAsia" w:ascii="仿宋_GB2312" w:hAnsi="仿宋_GB2312" w:eastAsia="仿宋_GB2312" w:cs="仿宋_GB2312"/>
                <w:b w:val="0"/>
                <w:bCs/>
                <w:kern w:val="2"/>
                <w:sz w:val="28"/>
                <w:szCs w:val="28"/>
                <w:lang w:eastAsia="zh-CN"/>
              </w:rPr>
              <w:t>项目等</w:t>
            </w:r>
            <w:r>
              <w:rPr>
                <w:rFonts w:hint="eastAsia" w:ascii="仿宋_GB2312" w:hAnsi="仿宋_GB2312" w:eastAsia="仿宋_GB2312" w:cs="仿宋_GB2312"/>
                <w:b w:val="0"/>
                <w:bCs/>
                <w:kern w:val="2"/>
                <w:sz w:val="28"/>
                <w:szCs w:val="28"/>
              </w:rPr>
              <w:t>。</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kern w:val="2"/>
                <w:sz w:val="28"/>
                <w:szCs w:val="28"/>
                <w:lang w:eastAsia="zh-CN"/>
              </w:rPr>
              <w:t>（二）电网：</w:t>
            </w:r>
            <w:r>
              <w:rPr>
                <w:rFonts w:hint="eastAsia" w:ascii="仿宋_GB2312" w:hAnsi="仿宋_GB2312" w:eastAsia="仿宋_GB2312" w:cs="仿宋_GB2312"/>
                <w:b w:val="0"/>
                <w:bCs/>
                <w:kern w:val="2"/>
                <w:sz w:val="28"/>
                <w:szCs w:val="28"/>
              </w:rPr>
              <w:t>220kV</w:t>
            </w:r>
            <w:r>
              <w:rPr>
                <w:rFonts w:hint="eastAsia" w:ascii="仿宋_GB2312" w:hAnsi="仿宋_GB2312" w:eastAsia="仿宋_GB2312" w:cs="仿宋_GB2312"/>
                <w:b w:val="0"/>
                <w:bCs/>
                <w:kern w:val="2"/>
                <w:sz w:val="28"/>
                <w:szCs w:val="28"/>
                <w:lang w:eastAsia="zh-CN"/>
              </w:rPr>
              <w:t>临港产业</w:t>
            </w:r>
            <w:r>
              <w:rPr>
                <w:rFonts w:hint="eastAsia" w:ascii="仿宋_GB2312" w:hAnsi="仿宋_GB2312" w:eastAsia="仿宋_GB2312" w:cs="仿宋_GB2312"/>
                <w:b w:val="0"/>
                <w:bCs/>
                <w:kern w:val="2"/>
                <w:sz w:val="28"/>
                <w:szCs w:val="28"/>
              </w:rPr>
              <w:t>园那悦变电站，220kV马岭林场变电站</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110kV琼西站，110kV高坡变电站，110kV公爱变电站，110kV感恩变电站，110kV金月湾变电站，110kV四必湾变电站等。</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kern w:val="2"/>
                <w:sz w:val="28"/>
                <w:szCs w:val="28"/>
                <w:lang w:eastAsia="zh-CN"/>
              </w:rPr>
              <w:t>（三）气网：</w:t>
            </w:r>
            <w:r>
              <w:rPr>
                <w:rFonts w:hint="eastAsia" w:ascii="仿宋_GB2312" w:hAnsi="仿宋_GB2312" w:eastAsia="仿宋_GB2312" w:cs="仿宋_GB2312"/>
                <w:b w:val="0"/>
                <w:bCs/>
                <w:kern w:val="2"/>
                <w:sz w:val="28"/>
                <w:szCs w:val="28"/>
              </w:rPr>
              <w:t>东方LNG接收仓储项目，四更镇、板桥镇、东河镇、大田镇、新龙镇、三家镇LNG气化站等。</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kern w:val="2"/>
                <w:sz w:val="28"/>
                <w:szCs w:val="28"/>
                <w:lang w:eastAsia="zh-CN"/>
              </w:rPr>
              <w:t>（四）光网：</w:t>
            </w:r>
            <w:r>
              <w:rPr>
                <w:rFonts w:hint="eastAsia" w:ascii="仿宋_GB2312" w:hAnsi="仿宋_GB2312" w:eastAsia="仿宋_GB2312" w:cs="仿宋_GB2312"/>
                <w:b w:val="0"/>
                <w:bCs/>
                <w:kern w:val="2"/>
                <w:sz w:val="28"/>
                <w:szCs w:val="28"/>
              </w:rPr>
              <w:t>5G网络全域覆盖和异网漫游、城乡一体化千兆光网、智能电网融合示范项目等。</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Times New Roman" w:hAnsi="Times New Roman" w:eastAsia="楷体_GB2312" w:cs="Times New Roman"/>
                <w:kern w:val="0"/>
                <w:sz w:val="24"/>
                <w:szCs w:val="24"/>
              </w:rPr>
            </w:pPr>
            <w:r>
              <w:rPr>
                <w:rFonts w:hint="eastAsia" w:ascii="楷体_GB2312" w:eastAsia="楷体_GB2312" w:hAnsiTheme="minorHAnsi" w:cstheme="minorBidi"/>
                <w:b/>
                <w:kern w:val="2"/>
                <w:sz w:val="28"/>
                <w:szCs w:val="28"/>
                <w:lang w:eastAsia="zh-CN"/>
              </w:rPr>
              <w:t>（五）水网：</w:t>
            </w:r>
            <w:r>
              <w:rPr>
                <w:rFonts w:hint="eastAsia" w:ascii="仿宋_GB2312" w:hAnsi="仿宋_GB2312" w:eastAsia="仿宋_GB2312" w:cs="仿宋_GB2312"/>
                <w:b w:val="0"/>
                <w:bCs/>
                <w:kern w:val="2"/>
                <w:sz w:val="28"/>
                <w:szCs w:val="28"/>
              </w:rPr>
              <w:t>引调水工程</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农村供水保障工程</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城镇污水治理工程</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海堤达标建设</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重点中型灌区续建配套与现代化（节水）改造工程</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病险水库除险加固</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河湖水系连通</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山洪灾害防治</w:t>
            </w:r>
            <w:r>
              <w:rPr>
                <w:rFonts w:hint="eastAsia" w:ascii="仿宋_GB2312" w:hAnsi="仿宋_GB2312" w:eastAsia="仿宋_GB2312" w:cs="仿宋_GB2312"/>
                <w:b w:val="0"/>
                <w:bCs/>
                <w:kern w:val="2"/>
                <w:sz w:val="28"/>
                <w:szCs w:val="28"/>
                <w:lang w:eastAsia="zh-CN"/>
              </w:rPr>
              <w:t>等</w:t>
            </w:r>
            <w:r>
              <w:rPr>
                <w:rFonts w:hint="eastAsia" w:ascii="仿宋_GB2312" w:hAnsi="仿宋_GB2312" w:eastAsia="仿宋_GB2312" w:cs="仿宋_GB2312"/>
                <w:b w:val="0"/>
                <w:bCs/>
                <w:kern w:val="2"/>
                <w:sz w:val="28"/>
                <w:szCs w:val="28"/>
              </w:rPr>
              <w:t>。</w:t>
            </w:r>
          </w:p>
        </w:tc>
      </w:tr>
    </w:tbl>
    <w:p>
      <w:pPr>
        <w:keepNext w:val="0"/>
        <w:keepLines w:val="0"/>
        <w:pageBreakBefore w:val="0"/>
        <w:kinsoku/>
        <w:wordWrap/>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ageBreakBefore w:val="0"/>
        <w:kinsoku/>
        <w:wordWrap/>
        <w:overflowPunct/>
        <w:topLinePunct w:val="0"/>
        <w:autoSpaceDE w:val="0"/>
        <w:autoSpaceDN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pStyle w:val="3"/>
        <w:keepNext w:val="0"/>
        <w:keepLines w:val="0"/>
        <w:pageBreakBefore w:val="0"/>
        <w:kinsoku/>
        <w:wordWrap/>
        <w:overflowPunct/>
        <w:topLinePunct w:val="0"/>
        <w:bidi w:val="0"/>
        <w:adjustRightInd w:val="0"/>
        <w:snapToGrid w:val="0"/>
        <w:spacing w:before="0" w:after="0" w:line="600" w:lineRule="exact"/>
        <w:ind w:left="0" w:leftChars="0" w:right="0" w:rightChars="0"/>
        <w:jc w:val="center"/>
        <w:textAlignment w:val="auto"/>
        <w:rPr>
          <w:rFonts w:ascii="Times New Roman" w:hAnsi="Times New Roman" w:eastAsia="黑体" w:cs="Times New Roman"/>
          <w:b w:val="0"/>
          <w:sz w:val="32"/>
          <w:szCs w:val="32"/>
        </w:rPr>
      </w:pPr>
      <w:bookmarkStart w:id="44" w:name="_Toc61275596"/>
      <w:r>
        <w:rPr>
          <w:rFonts w:ascii="Times New Roman" w:hAnsi="Times New Roman" w:eastAsia="黑体" w:cs="Times New Roman"/>
          <w:b w:val="0"/>
          <w:sz w:val="32"/>
          <w:szCs w:val="32"/>
        </w:rPr>
        <w:t xml:space="preserve">第八章  </w:t>
      </w:r>
      <w:r>
        <w:rPr>
          <w:rFonts w:hint="eastAsia" w:ascii="Times New Roman" w:hAnsi="Times New Roman" w:eastAsia="黑体" w:cs="Times New Roman"/>
          <w:b w:val="0"/>
          <w:sz w:val="32"/>
          <w:szCs w:val="32"/>
        </w:rPr>
        <w:t>积极参与“一带一路”建设，提升服务保障国家重大战略能力</w:t>
      </w:r>
      <w:bookmarkEnd w:id="44"/>
    </w:p>
    <w:p>
      <w:pPr>
        <w:pageBreakBefore w:val="0"/>
        <w:tabs>
          <w:tab w:val="left" w:pos="4678"/>
        </w:tabs>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sz w:val="32"/>
          <w:szCs w:val="32"/>
        </w:rPr>
      </w:pPr>
    </w:p>
    <w:p>
      <w:pPr>
        <w:pageBreakBefore w:val="0"/>
        <w:tabs>
          <w:tab w:val="left" w:pos="4678"/>
        </w:tabs>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立足区位优势，提高政治站位，坚持全局视野，深度融入“一带一路”建设，提升南海开发服务保障能力。</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45" w:name="_Toc61275597"/>
      <w:r>
        <w:rPr>
          <w:rFonts w:hint="eastAsia" w:ascii="Times New Roman" w:hAnsi="Times New Roman" w:eastAsia="楷体_GB2312" w:cs="Times New Roman"/>
        </w:rPr>
        <w:t>第一节  深度融入“一带一路”建设</w:t>
      </w:r>
      <w:bookmarkEnd w:id="45"/>
    </w:p>
    <w:p>
      <w:pPr>
        <w:pageBreakBefore w:val="0"/>
        <w:tabs>
          <w:tab w:val="left" w:pos="4678"/>
        </w:tabs>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经贸投资合作。加强与“一带一路”沿线国家和地区经贸投资往来，建立立足本地、联动洋浦、联动“一带一路”的经贸合作网络。发挥区位优势深耕东盟市场，围绕矿产资源、海洋渔业以及现代制造开展务实合作，打造琼越经济循环重要节点。推动与欧盟国家开展高端制造、物流运输、旅游健康、商贸会展等领域合作，推动建立德国、法国等国别合作园区，推动与韩国、新加坡以及日本开展航运物流、跨境电商以及金融保险等领域合作。对接融入粤港澳大湾区建设，深化与香港、澳门以及台湾经贸联系，建立常态化交流合作机制。</w:t>
      </w:r>
    </w:p>
    <w:p>
      <w:pPr>
        <w:pageBreakBefore w:val="0"/>
        <w:tabs>
          <w:tab w:val="left" w:pos="4678"/>
        </w:tabs>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科技人文交流。积极引进国际机构、国际会议和行业组织，打造国际组织集聚区。面向“一带一路”沿线国家和地区加强文化宣传工作，用好现代新媒体手段“讲好东方故事”，增强东方文化软实力和国际知名度。面向“一带一路”沿线国家和地区开展国际友城合作，扩大城市交流范围，开展深具东方特色的城市外交活动。推动与欧盟、东盟及新加坡等开展教育文化合作。建设国家对外文化交流基地。</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hint="eastAsia" w:ascii="Times New Roman" w:hAnsi="Times New Roman" w:eastAsia="楷体_GB2312" w:cs="Times New Roman"/>
        </w:rPr>
      </w:pPr>
      <w:bookmarkStart w:id="46" w:name="_Toc61275598"/>
      <w:r>
        <w:rPr>
          <w:rFonts w:hint="eastAsia" w:ascii="Times New Roman" w:hAnsi="Times New Roman" w:eastAsia="楷体_GB2312" w:cs="Times New Roman"/>
        </w:rPr>
        <w:t>第二节  更好服务海洋强国战略</w:t>
      </w:r>
      <w:bookmarkEnd w:id="46"/>
    </w:p>
    <w:p>
      <w:pPr>
        <w:pageBreakBefore w:val="0"/>
        <w:tabs>
          <w:tab w:val="left" w:pos="4678"/>
        </w:tabs>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争创“智慧海洋”建设示范区，加快建设区域海洋观测、预警、减灾等海上公共服务系统，构建“人、船、地、海、空、天”六维海洋综合立体感知体系。加快涉海重大工程建设，建设高附加值、高技术含量的新型材料、专用化学品及精细化工产品、石油化工深加工项目，打造区域性油气产业集群、国家级石油产业基地和出口加工基地、大型原油成品油储备中转基地。加快建设八所南海应急救援岸基保障基地，强化海域开发、管理、服务、维权和救援能力，提升深远海应急救援能力，推动南海海上综合救援保障体系智能化、信息化、科技化。深化南海维权体制改革，加强南海维权执法。完善南海维权基础设施体系，加快推进港口码头、机场航空、远海船舶、指挥平台、深海渔船、海洋牧场及应急保障工程等建设，提高南海服务保障和开发能力。</w:t>
      </w:r>
    </w:p>
    <w:p>
      <w:pPr>
        <w:pageBreakBefore w:val="0"/>
        <w:tabs>
          <w:tab w:val="left" w:pos="4678"/>
        </w:tabs>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sz w:val="32"/>
          <w:szCs w:val="32"/>
        </w:rPr>
      </w:pPr>
    </w:p>
    <w:p>
      <w:pPr>
        <w:pageBreakBefore w:val="0"/>
        <w:tabs>
          <w:tab w:val="left" w:pos="4678"/>
        </w:tabs>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sz w:val="32"/>
          <w:szCs w:val="32"/>
        </w:rPr>
      </w:pPr>
    </w:p>
    <w:p>
      <w:pPr>
        <w:pageBreakBefore w:val="0"/>
        <w:widowControl/>
        <w:kinsoku/>
        <w:wordWrap/>
        <w:overflowPunct/>
        <w:topLinePunct w:val="0"/>
        <w:bidi w:val="0"/>
        <w:spacing w:line="600" w:lineRule="exact"/>
        <w:ind w:left="0" w:leftChars="0" w:right="0" w:rightChars="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pageBreakBefore w:val="0"/>
        <w:kinsoku/>
        <w:wordWrap/>
        <w:overflowPunct/>
        <w:topLinePunct w:val="0"/>
        <w:bidi w:val="0"/>
        <w:adjustRightInd w:val="0"/>
        <w:snapToGrid w:val="0"/>
        <w:spacing w:line="600" w:lineRule="exact"/>
        <w:ind w:left="0" w:leftChars="0" w:right="0" w:rightChars="0"/>
        <w:jc w:val="center"/>
        <w:textAlignment w:val="auto"/>
        <w:outlineLvl w:val="0"/>
        <w:rPr>
          <w:rFonts w:ascii="Times New Roman" w:hAnsi="Times New Roman" w:eastAsia="黑体" w:cs="Times New Roman"/>
          <w:bCs/>
          <w:kern w:val="44"/>
          <w:sz w:val="32"/>
          <w:szCs w:val="32"/>
        </w:rPr>
      </w:pPr>
      <w:bookmarkStart w:id="47" w:name="_Toc61275600"/>
      <w:r>
        <w:rPr>
          <w:rFonts w:ascii="Times New Roman" w:hAnsi="Times New Roman" w:eastAsia="黑体" w:cs="Times New Roman"/>
          <w:bCs/>
          <w:kern w:val="44"/>
          <w:sz w:val="32"/>
          <w:szCs w:val="32"/>
        </w:rPr>
        <w:t xml:space="preserve">第九章  </w:t>
      </w:r>
      <w:r>
        <w:rPr>
          <w:rFonts w:hint="eastAsia" w:ascii="Times New Roman" w:hAnsi="Times New Roman" w:eastAsia="黑体" w:cs="Times New Roman"/>
          <w:bCs/>
          <w:kern w:val="44"/>
          <w:sz w:val="32"/>
          <w:szCs w:val="32"/>
        </w:rPr>
        <w:t>推动绿色发展，大力加强生态文明建设</w:t>
      </w:r>
      <w:bookmarkEnd w:id="47"/>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牢固树立“绿水青山就是金山银山”理念，把绿水青山、碧海蓝天留给子孙后代。全面加强生态系统保护修复，坚决打赢蓝天碧水净土保卫战，大力推进节能减排，建立健全生态文明制度，确保生态环境质量只能更好、不能变差，推动建成国家生态文明建设示范市。</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48" w:name="_Toc61275601"/>
      <w:r>
        <w:rPr>
          <w:rFonts w:ascii="Times New Roman" w:hAnsi="Times New Roman" w:eastAsia="楷体_GB2312" w:cs="Times New Roman"/>
        </w:rPr>
        <w:t>第一节  强化生态系统综合治理</w:t>
      </w:r>
      <w:bookmarkEnd w:id="48"/>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优化国土空间开发格局。</w:t>
      </w:r>
      <w:r>
        <w:rPr>
          <w:rFonts w:hint="eastAsia" w:ascii="Times New Roman" w:hAnsi="Times New Roman" w:eastAsia="仿宋_GB2312" w:cs="Times New Roman"/>
          <w:kern w:val="0"/>
          <w:sz w:val="32"/>
          <w:szCs w:val="32"/>
        </w:rPr>
        <w:t>严守生态保护红线，推动形成以自然保护区为核心，以重要林地为基质，以重要湖库为空间节点，以主要河流、海岸带为生态廊道的生态空间格局。</w:t>
      </w:r>
      <w:r>
        <w:rPr>
          <w:rFonts w:ascii="Times New Roman" w:hAnsi="Times New Roman" w:eastAsia="仿宋_GB2312" w:cs="Times New Roman"/>
          <w:kern w:val="0"/>
          <w:sz w:val="32"/>
          <w:szCs w:val="32"/>
        </w:rPr>
        <w:t>落实主体功能区战略，深化“多规合一”改革，建立健全规划调整“硬约束”机制，坚持一张蓝图干到底。推进生态修补，抓好山体生态修复和万亩红树林修复。因地制宜推进绿色城镇化，在保护原生态前提下，打造一批体现东方特色的精品城镇。加强四必湾、俄贤岭、大田坡鹿自然保护区等地生态环境保护。强化自然保护区监督管理，建立集空天地一体化和智能化为一体的自然保护地监测预警架构，推动建成以国家公园为主体的自然保护地体系。</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加强海洋环境资源保护。严格控制</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00米海岸带生态红线开发建设，推动形成海岸线生态、生产、生活空间合理布局，打造“琼西蓝色海湾”。实施最严格的围填海控制制度和规范审批程序，除国家重大战略项目外，全面停止新增围填海项目受理。推行海洋“湾长制”，强化陆源污染治理，加快修复红树林等海岸生态系统。推动水产养殖水域滩涂规划实施，在海洋生态敏感区和滨海旅游区实施退塘还林和退塘还湿。结合海洋生态牧场建设，积极开展海洋生态系统碳汇试点。统筹规划建设海洋污染物治理设施，在八所港推行船舶污染物接受、转运、处置监管联单制度。创新海洋垃圾清理方式，强化海上污染源防控。</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高生物多样性保护力度。以保护东方现有天然林为重点，对原始林实行封禁保护，对次生林采取人工补植、封山育林和抚育相结合森林经营技术措施。强化国家重点保护动植物保育恢复，加快建设珍稀濒危物种和种质资源迁地保护与繁衍基地。发挥东方习俗、乡规、民约等传统文化优势，推动建立生物多样性优先区与自然保护区和周边社区紧密结合的协同共管机制。加强生物资源发掘、筛选和评价，积极鼓励相关生物技术在医药、环保等领域深度应用。完善生物多样性本底调查和评估，健全生物多样性大数据监测体系。推动与世界自然基金会等国际研究机构建立保护伙伴关系，促进生物多样性国际与国内交流合作。</w:t>
      </w:r>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49" w:name="_Toc61275602"/>
      <w:r>
        <w:rPr>
          <w:rFonts w:ascii="Times New Roman" w:hAnsi="Times New Roman" w:eastAsia="楷体_GB2312" w:cs="Times New Roman"/>
        </w:rPr>
        <w:t>第二节  打好蓝天碧水净土保卫战</w:t>
      </w:r>
      <w:bookmarkEnd w:id="49"/>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续保持一流空气质量。开展全市大气污染防治专项行动，全面取缔不符合产业政策、污染严重、治理达标无望的小制造、小加工和小作坊。加大工业污染源治理，新建项目脱硫、脱硝设施安装率达到100%，鼓励工业企业改造原有燃煤、燃油锅炉，改用天然气作为清洁能源。抓好机动车尾气综合整治，加快淘汰国III及以下排放标准的柴油货车、采用稀薄燃烧技术或“油改气”的老旧燃气车辆。</w:t>
      </w:r>
      <w:r>
        <w:rPr>
          <w:rFonts w:hint="eastAsia" w:ascii="Times New Roman" w:hAnsi="Times New Roman" w:eastAsia="仿宋_GB2312" w:cs="Times New Roman"/>
          <w:kern w:val="0"/>
          <w:sz w:val="32"/>
          <w:szCs w:val="32"/>
        </w:rPr>
        <w:t>全面整治挥发性有机物，减排</w:t>
      </w:r>
      <w:r>
        <w:rPr>
          <w:rFonts w:ascii="Times New Roman" w:hAnsi="Times New Roman" w:eastAsia="仿宋_GB2312" w:cs="Times New Roman"/>
          <w:kern w:val="0"/>
          <w:sz w:val="32"/>
          <w:szCs w:val="32"/>
        </w:rPr>
        <w:t>VOCs，逐步降低臭氧浓度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鼓励液化天然气动力船舶发展，在八所港口新增运输船舶优先使用清洁能源。加大道路和建筑工地扬尘治理，加强烟花爆竹燃放污染防控，强化露天烧烤、秸秆焚烧、餐饮油烟、土法熏烤槟榔等监管监控。</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推动水环境综合治理。</w:t>
      </w:r>
      <w:r>
        <w:rPr>
          <w:rFonts w:hint="eastAsia" w:ascii="Times New Roman" w:hAnsi="Times New Roman" w:eastAsia="仿宋_GB2312" w:cs="Times New Roman"/>
          <w:kern w:val="0"/>
          <w:sz w:val="32"/>
          <w:szCs w:val="32"/>
        </w:rPr>
        <w:t>做好饮用水水源保护，加强备用水源建设，建设水源信息化管理平台。</w:t>
      </w:r>
      <w:r>
        <w:rPr>
          <w:rFonts w:ascii="Times New Roman" w:hAnsi="Times New Roman" w:eastAsia="仿宋_GB2312" w:cs="Times New Roman"/>
          <w:kern w:val="0"/>
          <w:sz w:val="32"/>
          <w:szCs w:val="32"/>
        </w:rPr>
        <w:t>按照“控源截污、内源治理、活水补水、生态修复”技术路径，全面推进中心排水沟、老福根沟、竹金沟、龙须沟和北黎河、罗带河、感恩河、通天河</w:t>
      </w:r>
      <w:r>
        <w:rPr>
          <w:rFonts w:hint="eastAsia" w:ascii="Times New Roman" w:hAnsi="Times New Roman" w:eastAsia="仿宋_GB2312" w:cs="Times New Roman"/>
          <w:kern w:val="0"/>
          <w:sz w:val="32"/>
          <w:szCs w:val="32"/>
          <w:lang w:eastAsia="zh-CN"/>
        </w:rPr>
        <w:t>、南港河</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五河四沟</w:t>
      </w:r>
      <w:r>
        <w:rPr>
          <w:rFonts w:ascii="Times New Roman" w:hAnsi="Times New Roman" w:eastAsia="仿宋_GB2312" w:cs="Times New Roman"/>
          <w:kern w:val="0"/>
          <w:sz w:val="32"/>
          <w:szCs w:val="32"/>
        </w:rPr>
        <w:t>”综合整治，打造高品质景观河道。推动农村黑臭水体治理试点示范，采用“沉水植物+水生动物”纯生态解决方案，形成以“水森林+水生动物+微生物”为一体的水清、气净、景美的水生态系统。开展地下水和热带温泉综合整治，在海岸带侵蚀区、海水倒灌区等区域严格开采管理。建立重点水体信息公开制度，对水质未达标或严重下降地方政府负责人进行约谈。</w:t>
      </w:r>
      <w:r>
        <w:rPr>
          <w:rFonts w:hint="eastAsia" w:ascii="Times New Roman" w:hAnsi="Times New Roman" w:eastAsia="仿宋_GB2312" w:cs="Times New Roman"/>
          <w:kern w:val="0"/>
          <w:sz w:val="32"/>
          <w:szCs w:val="32"/>
        </w:rPr>
        <w:t>全面推行河（湖）长制、湾长制、林长制建设，</w:t>
      </w:r>
      <w:r>
        <w:rPr>
          <w:rFonts w:ascii="Times New Roman" w:hAnsi="Times New Roman" w:eastAsia="仿宋_GB2312" w:cs="Times New Roman"/>
          <w:kern w:val="0"/>
          <w:sz w:val="32"/>
          <w:szCs w:val="32"/>
        </w:rPr>
        <w:t>补齐水污染防治基础设施短板，严厉打击非法排污、侵占河道、非法采砂、破坏航道等违法违规行为。全面禁止新建小水电站，对现有小水电站实施生态化改造或关停退出，保护修复河流水生态。</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土壤生态环境保护。严格用地准入，禁止在生态保护红线区、农产品产地等环境敏感区域建设对土壤环境有影响的工业项目。依法关闭禁养区内规模养殖场，鼓励废弃物资源化节约利用。推行农用地清单管理，建立健全耕地土壤质量类别划定分类体系，全面开展东方土壤污染治理与修复示范。强化矿业采选环境监管，按照“谁开采、谁治理”原则，推动不磨矿区、北牛矿区、抱板矿区等旧金矿点生态治理修复，打造“绿色矿山”。</w:t>
      </w:r>
      <w:r>
        <w:rPr>
          <w:rFonts w:hint="eastAsia" w:ascii="Times New Roman" w:hAnsi="Times New Roman" w:eastAsia="仿宋_GB2312" w:cs="Times New Roman"/>
          <w:kern w:val="0"/>
          <w:sz w:val="32"/>
          <w:szCs w:val="32"/>
        </w:rPr>
        <w:t>统筹开展地下水污染协同防治，针对性地提出地表水—地下水、土壤—地下水、区域—地块统筹的地下水污染协同防治措施。</w:t>
      </w:r>
      <w:r>
        <w:rPr>
          <w:rFonts w:ascii="Times New Roman" w:hAnsi="Times New Roman" w:eastAsia="仿宋_GB2312" w:cs="Times New Roman"/>
          <w:kern w:val="0"/>
          <w:sz w:val="32"/>
          <w:szCs w:val="32"/>
        </w:rPr>
        <w:t>提升危险废物处置利用能力，推进医疗废物处置设施扩能增容。优化乡镇垃圾转运站和农村垃圾收集点布局，实施垃圾分类试点，确保城镇生活垃圾无害化处理达100%以上，农村生活垃圾无害化处理达95%以上。</w:t>
      </w:r>
    </w:p>
    <w:p>
      <w:pPr>
        <w:pStyle w:val="4"/>
        <w:pageBreakBefore w:val="0"/>
        <w:kinsoku/>
        <w:wordWrap/>
        <w:overflowPunct/>
        <w:topLinePunct w:val="0"/>
        <w:bidi w:val="0"/>
        <w:spacing w:before="156" w:beforeLines="50" w:after="156" w:afterLines="50" w:line="600" w:lineRule="exact"/>
        <w:ind w:left="0" w:leftChars="0" w:right="0" w:rightChars="0"/>
        <w:jc w:val="center"/>
        <w:textAlignment w:val="auto"/>
        <w:rPr>
          <w:rFonts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第三节  推进绿色循环低碳发展</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着力推动节能减排。以临港产业园和重大项目为依托，培育壮大清洁能源产业、清洁生产产业和节能环保产业，着力促进产业绿色发展转型。全面禁止高能耗、高污染、高排放产业和低端制造业发展，推动现有制造业向智能化、绿色化和服务型转变，积极打造绿色低碳型经济体系。严格控制资源利用，加快能源结构优化，强化战略与规划环评引领和资源环境调控。积极发展可再生能源照明系统，建成全国绿色照明示范市。优化传统供冷用能方式，推动蓄能型集中供冷应用示范。基于东方风能资源分布和特性，谋划一批可实施的大型风电项目和风光互补项目。开展全市生物质能资源调查评价，促进资源有序开发。积极发展节能环保服务业，鼓励专业节能服务机构为石化和化工企业提供能源审计、节合同能源管理、能减排工程、节能项目融资等服务。运用“互联网+”、云计算及大数据管理等技术，提升节能降碳信息化水平。</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积极发展循环经济。统筹规划空间布局，加快推动临港产业园循环化改造，实现企业间废物交换利用、能量梯级利用、废水循环利用，促进主要污染物基本实现“零排放”，打造成为海南“经济快速发展、资源高效利用、环境优美清洁、生态良性循环”的循环经济示范园区。建设具有东方特色的静脉产业园，着力培育一批资源综合利用“双百工程”示范骨干企业，提高全市固体废弃物、废旧纺织品、废弃金属、废弃电子产品的循环利用水平。树立农业节约集约循环观，加强养殖废弃物资源化利用，推广生态化种植模式，试点“谁生产、谁回收”生产者责任延伸制度，打造种养结合、生态循环、环境优美的田园生态系统。全面禁止生产、销售和使用一次性不可降解塑料袋，扎实推进快递包装绿色治理。</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构建现代低碳体系。促进建筑业低碳转型，</w:t>
      </w:r>
      <w:r>
        <w:rPr>
          <w:rFonts w:hint="eastAsia" w:ascii="Times New Roman" w:hAnsi="Times New Roman" w:eastAsia="仿宋_GB2312" w:cs="Times New Roman"/>
          <w:kern w:val="0"/>
          <w:sz w:val="32"/>
          <w:szCs w:val="32"/>
          <w:lang w:eastAsia="zh-CN"/>
        </w:rPr>
        <w:t>利用我市丰富矿产资源和工业技术，大力发展新型绿色建材产业，形成建材产业链，鼓励发展装配式建筑示范工程和产业基地。</w:t>
      </w:r>
      <w:r>
        <w:rPr>
          <w:rFonts w:ascii="Times New Roman" w:hAnsi="Times New Roman" w:eastAsia="仿宋_GB2312" w:cs="Times New Roman"/>
          <w:kern w:val="0"/>
          <w:sz w:val="32"/>
          <w:szCs w:val="32"/>
        </w:rPr>
        <w:t>优化综合交通运输体系，全面推广货运衔接“无缝化”、客运换乘“零距离”以及运输服务“一体化”。推动构建低碳生态系统，增强全市绿地碳汇能力。统筹重大专项和平台建设，加强低碳技术集中示范应用。加快推进低碳发展试点，积极推广低碳产品应用，建成一批低碳旅游示范区、低碳产业园区、低碳景区、低碳社区和低碳学校。</w:t>
      </w:r>
    </w:p>
    <w:p>
      <w:pPr>
        <w:pageBreakBefore w:val="0"/>
        <w:kinsoku/>
        <w:wordWrap/>
        <w:overflowPunct/>
        <w:topLinePunct w:val="0"/>
        <w:bidi w:val="0"/>
        <w:spacing w:line="600" w:lineRule="exact"/>
        <w:ind w:left="0" w:leftChars="0" w:right="0" w:rightChars="0" w:firstLine="640" w:firstLineChars="200"/>
        <w:textAlignment w:val="auto"/>
        <w:rPr>
          <w:rFonts w:ascii="Times New Roman" w:hAnsi="Times New Roman" w:eastAsia="楷体_GB2312" w:cs="Times New Roman"/>
        </w:rPr>
      </w:pPr>
      <w:r>
        <w:rPr>
          <w:rFonts w:hint="eastAsia" w:ascii="Times New Roman" w:hAnsi="Times New Roman" w:eastAsia="仿宋_GB2312" w:cs="Times New Roman"/>
          <w:kern w:val="0"/>
          <w:sz w:val="32"/>
          <w:szCs w:val="32"/>
        </w:rPr>
        <w:t>减缓和适应气候变化。以</w:t>
      </w:r>
      <w:r>
        <w:rPr>
          <w:rFonts w:ascii="Times New Roman" w:hAnsi="Times New Roman" w:eastAsia="仿宋_GB2312" w:cs="Times New Roman"/>
          <w:kern w:val="0"/>
          <w:sz w:val="32"/>
          <w:szCs w:val="32"/>
        </w:rPr>
        <w:t>2025年碳达峰为目标，开展能源结构、产业发展、城市建设战略的碳排放评估分析，制定碳排放达峰实施路径和落实方案，严格控制工业、农业、交通、建筑等重点领域的温室气体排放。</w:t>
      </w:r>
      <w:r>
        <w:rPr>
          <w:rFonts w:hint="eastAsia" w:ascii="Times New Roman" w:hAnsi="Times New Roman" w:eastAsia="仿宋_GB2312" w:cs="Times New Roman"/>
          <w:kern w:val="0"/>
          <w:sz w:val="32"/>
          <w:szCs w:val="32"/>
        </w:rPr>
        <w:t>强化农业、林业等部门和领域气候变化风险分析，建立极端气候事件预警指数和等级标准，实现各类极端气候事件预测预警信息共享共用和有效传递。加强对湿地公园、红树林等受气候变化威胁的旅游资源的保护，增强旅游业适应气候变化能力。</w:t>
      </w:r>
      <w:bookmarkStart w:id="50" w:name="_Toc61275604"/>
    </w:p>
    <w:p>
      <w:pPr>
        <w:pStyle w:val="4"/>
        <w:keepNext w:val="0"/>
        <w:keepLines w:val="0"/>
        <w:pageBreakBefore w:val="0"/>
        <w:kinsoku/>
        <w:wordWrap/>
        <w:overflowPunct/>
        <w:topLinePunct w:val="0"/>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r>
        <w:rPr>
          <w:rFonts w:ascii="Times New Roman" w:hAnsi="Times New Roman" w:eastAsia="楷体_GB2312" w:cs="Times New Roman"/>
        </w:rPr>
        <w:t>第四节  推动环境治理体系现代化</w:t>
      </w:r>
      <w:bookmarkEnd w:id="50"/>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健全生态保护补偿机制。按照“谁污染、谁补偿，谁保护、谁受益”原则，推动建立全形式多元、绩效导向、长期稳定的生态投入制度，让受益者付费、对保护者进行合理补偿，形成生态保护者和受益者良性互动新格局。逐步拓展生态补偿实施范围，实现市域范围内海洋、湿地、森林、耕地、水流等重点区域生态保护补偿全覆盖。做好生态补偿资金归口管理，确保生态保护区转移支付资金专款专用。区别不同项目类型，创新生态补偿方式方法，探索发行中长期东方生态补充建设债券。强化政策指导，完善生态补偿修复奖补激励机制。加强与省内兄弟市县沟通交流，探索生态补偿新理念新模式。</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升生态环境法治水平。严格按照“党政同责、一岗双责、齐抓共管、失职追责”工作要求，压实各部门各行业环保责任，强化环境保护目标责任制、总量减排目标责任制、节能减排目标责任制等考核力度。完善生态文明建设目标评价考核体系，合理设定环境质量约束性和预期性目标。深化环境资源审批改革，推进环境资源刑事、行政、民事案件“三合一”归口审理模式。修复生态和打击犯罪并举，全面推进生态恢复性司法机制。优化环境和资源保护公益诉讼机制，探索环境损害赔偿诉讼审理规则。强化生态环境保护队伍建设，打造政治强、本领高、作风强、敢担当的生态保护铁军。</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建立生态现代监管体制。推动建立自然资源资产现代产权制度，对自然资源生态空间统一进行确权登记，创新自然资源全民所有权和集体所有权实现形式。扎实做好领导干部自然资源资产离任</w:t>
      </w:r>
      <w:r>
        <w:rPr>
          <w:rFonts w:hint="eastAsia" w:ascii="Times New Roman" w:hAnsi="Times New Roman" w:eastAsia="仿宋_GB2312" w:cs="Times New Roman"/>
          <w:kern w:val="0"/>
          <w:sz w:val="32"/>
          <w:szCs w:val="32"/>
          <w:lang w:eastAsia="zh-CN"/>
        </w:rPr>
        <w:t>（任中）</w:t>
      </w:r>
      <w:r>
        <w:rPr>
          <w:rFonts w:ascii="Times New Roman" w:hAnsi="Times New Roman" w:eastAsia="仿宋_GB2312" w:cs="Times New Roman"/>
          <w:kern w:val="0"/>
          <w:sz w:val="32"/>
          <w:szCs w:val="32"/>
        </w:rPr>
        <w:t>审计，科学评价领导干部任期自然资源资产开发、利用及保护责任履行状况。深入推进排污许可制度改革，对全市排污单位实行从环境准入、排污控制到执法监管的“一证式”全过程管理。加快探索生态产品价值实现机制，推动将集体土地、林地等自然资源资产折算成企业、合作社股权，让资源变资产、农民变股东。优化环保信用评价、信息强制性披露、严惩重罚等制度，逐步在全市构建完善环保信用评价与金融服务、市场准入、公共服务相关联的联合惩戒机制，使环保失信企业处处受限。优化环评管理，加强事中事后监管，全面服务好自贸港建设。</w:t>
      </w:r>
    </w:p>
    <w:p>
      <w:pPr>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优化生态风险防控体系。强化源头管控，实施重点环境风险源分级分类动态管理，推动建立事前严防、事中严管、事后处置的全过程风险防范制度。全面对接国家环保政策法规和标准体系，提升环境风险管理技术支撑水平。加快完善重大环境风险监测预警体系，将环境准入、布局优化、风险评价、结构调整、清洁生产、绿色化学等纳入日常管理。加强应急管理基础设施建设，提高全市科学应对和处置突发环境事件水平。鼓励建立高危行业企业应急救援队伍，提高生态综合救援能力。</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kinsoku/>
              <w:wordWrap/>
              <w:overflowPunct/>
              <w:topLinePunct w:val="0"/>
              <w:bidi w:val="0"/>
              <w:adjustRightInd w:val="0"/>
              <w:snapToGrid w:val="0"/>
              <w:spacing w:before="156" w:beforeLines="50" w:line="240" w:lineRule="auto"/>
              <w:ind w:left="0" w:leftChars="0" w:right="0" w:rightChars="0"/>
              <w:jc w:val="center"/>
              <w:textAlignment w:val="auto"/>
              <w:rPr>
                <w:rFonts w:ascii="Times New Roman" w:hAnsi="Times New Roman" w:eastAsia="宋体" w:cs="Times New Roman"/>
                <w:b/>
                <w:kern w:val="0"/>
                <w:sz w:val="28"/>
                <w:szCs w:val="28"/>
              </w:rPr>
            </w:pPr>
            <w:r>
              <w:rPr>
                <w:rFonts w:hint="eastAsia" w:ascii="黑体" w:hAnsi="黑体" w:eastAsia="黑体"/>
                <w:bCs/>
                <w:sz w:val="28"/>
                <w:szCs w:val="28"/>
              </w:rPr>
              <w:t>专栏</w:t>
            </w:r>
            <w:r>
              <w:rPr>
                <w:rFonts w:hint="eastAsia" w:ascii="黑体" w:hAnsi="黑体" w:eastAsia="黑体"/>
                <w:bCs/>
                <w:sz w:val="28"/>
                <w:szCs w:val="28"/>
                <w:lang w:val="en-US" w:eastAsia="zh-CN"/>
              </w:rPr>
              <w:t>8</w:t>
            </w:r>
            <w:r>
              <w:rPr>
                <w:rFonts w:hint="eastAsia" w:ascii="黑体" w:hAnsi="黑体" w:eastAsia="黑体"/>
                <w:bCs/>
                <w:sz w:val="28"/>
                <w:szCs w:val="28"/>
              </w:rPr>
              <w:t xml:space="preserve">  </w:t>
            </w:r>
            <w:r>
              <w:rPr>
                <w:rFonts w:hint="eastAsia" w:ascii="黑体" w:hAnsi="黑体" w:eastAsia="黑体"/>
                <w:bCs/>
                <w:sz w:val="28"/>
                <w:szCs w:val="28"/>
                <w:lang w:eastAsia="zh-CN"/>
              </w:rPr>
              <w:t>生态文明建设重大工程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kinsoku/>
              <w:wordWrap/>
              <w:overflowPunct/>
              <w:topLinePunct w:val="0"/>
              <w:autoSpaceDE w:val="0"/>
              <w:autoSpaceDN w:val="0"/>
              <w:bidi w:val="0"/>
              <w:adjustRightInd w:val="0"/>
              <w:snapToGrid w:val="0"/>
              <w:spacing w:beforeLines="0" w:afterLines="0" w:line="600" w:lineRule="exact"/>
              <w:ind w:left="0" w:leftChars="0" w:right="0" w:rightChars="0" w:firstLine="560" w:firstLineChars="200"/>
              <w:textAlignment w:val="auto"/>
              <w:rPr>
                <w:rFonts w:ascii="Times New Roman" w:hAnsi="Times New Roman" w:eastAsia="楷体_GB2312" w:cs="Times New Roman"/>
                <w:kern w:val="0"/>
                <w:sz w:val="24"/>
                <w:szCs w:val="24"/>
              </w:rPr>
            </w:pPr>
            <w:r>
              <w:rPr>
                <w:rFonts w:hint="eastAsia" w:ascii="仿宋_GB2312" w:hAnsi="仿宋_GB2312" w:eastAsia="仿宋_GB2312" w:cs="仿宋_GB2312"/>
                <w:b w:val="0"/>
                <w:bCs/>
                <w:kern w:val="2"/>
                <w:sz w:val="28"/>
                <w:szCs w:val="28"/>
                <w:lang w:eastAsia="zh-CN"/>
              </w:rPr>
              <w:t>农村污水处理工程，危险废物处置能力建设工程，城镇生活污水设施建设工程，河流生态治理项目，罗带河水环境综合治理项目，有毒有害气体环境风险预警体系项目，黑脸琵鹭省级自然保护区生态保护和修复工程，农村黑臭水体治理试点示范项目，东方市垃圾填埋场地下水污染管控试点示范项目，不磨金矿综合治理项目，东方市重点区域土壤环境管控、治理修复项目，海岸带侵蚀修复工程等。</w:t>
            </w:r>
          </w:p>
        </w:tc>
      </w:tr>
    </w:tbl>
    <w:p>
      <w:pPr>
        <w:adjustRightInd w:val="0"/>
        <w:snapToGrid w:val="0"/>
        <w:spacing w:line="360" w:lineRule="auto"/>
        <w:ind w:firstLine="640" w:firstLineChars="200"/>
        <w:rPr>
          <w:rFonts w:ascii="Times New Roman" w:hAnsi="Times New Roman" w:eastAsia="仿宋_GB2312" w:cs="Times New Roman"/>
          <w:kern w:val="0"/>
          <w:sz w:val="32"/>
          <w:szCs w:val="32"/>
        </w:rPr>
      </w:pPr>
    </w:p>
    <w:p>
      <w:pPr>
        <w:adjustRightInd w:val="0"/>
        <w:snapToGrid w:val="0"/>
        <w:spacing w:line="360" w:lineRule="auto"/>
        <w:ind w:firstLine="640" w:firstLineChars="200"/>
        <w:rPr>
          <w:rFonts w:ascii="Times New Roman" w:hAnsi="Times New Roman" w:eastAsia="仿宋_GB2312" w:cs="Times New Roman"/>
          <w:kern w:val="0"/>
          <w:sz w:val="32"/>
          <w:szCs w:val="32"/>
        </w:rPr>
      </w:pPr>
    </w:p>
    <w:p>
      <w:pPr>
        <w:adjustRightInd w:val="0"/>
        <w:snapToGrid w:val="0"/>
        <w:spacing w:line="360" w:lineRule="auto"/>
        <w:ind w:firstLine="640" w:firstLineChars="200"/>
        <w:rPr>
          <w:rFonts w:ascii="Times New Roman" w:hAnsi="Times New Roman" w:eastAsia="仿宋_GB2312" w:cs="Times New Roman"/>
          <w:kern w:val="0"/>
          <w:sz w:val="32"/>
          <w:szCs w:val="32"/>
        </w:rPr>
      </w:pPr>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autoSpaceDE/>
        <w:autoSpaceDN/>
        <w:bidi w:val="0"/>
        <w:adjustRightInd w:val="0"/>
        <w:snapToGrid w:val="0"/>
        <w:spacing w:line="600" w:lineRule="exact"/>
        <w:ind w:left="0" w:leftChars="0" w:right="0" w:rightChars="0"/>
        <w:jc w:val="center"/>
        <w:textAlignment w:val="auto"/>
        <w:outlineLvl w:val="0"/>
        <w:rPr>
          <w:rFonts w:ascii="Times New Roman" w:hAnsi="Times New Roman" w:eastAsia="黑体" w:cs="Times New Roman"/>
          <w:bCs/>
          <w:kern w:val="44"/>
          <w:sz w:val="32"/>
          <w:szCs w:val="32"/>
        </w:rPr>
      </w:pPr>
      <w:bookmarkStart w:id="51" w:name="_Toc61275605"/>
      <w:r>
        <w:rPr>
          <w:rFonts w:ascii="Times New Roman" w:hAnsi="Times New Roman" w:eastAsia="黑体" w:cs="Times New Roman"/>
          <w:bCs/>
          <w:kern w:val="44"/>
          <w:sz w:val="32"/>
          <w:szCs w:val="32"/>
        </w:rPr>
        <w:t xml:space="preserve">第十章  </w:t>
      </w:r>
      <w:r>
        <w:rPr>
          <w:rFonts w:hint="eastAsia" w:ascii="Times New Roman" w:hAnsi="Times New Roman" w:eastAsia="黑体" w:cs="Times New Roman"/>
          <w:bCs/>
          <w:kern w:val="44"/>
          <w:sz w:val="32"/>
          <w:szCs w:val="32"/>
        </w:rPr>
        <w:t>坚持以人民为中心，大力推进社会民生事业</w:t>
      </w:r>
      <w:bookmarkEnd w:id="51"/>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着力补齐短板，突出普惠性、基础性、兜底性，提高城乡基本公共服务均等化水平和质量，让改革发展成果更多更公平地惠及全市人民群众，不断增强人民群众的获得感、幸福感、安全感。</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52" w:name="_Toc61275606"/>
      <w:r>
        <w:rPr>
          <w:rFonts w:ascii="Times New Roman" w:hAnsi="Times New Roman" w:eastAsia="楷体_GB2312" w:cs="Times New Roman"/>
        </w:rPr>
        <w:t>第一节  推动教育优质均衡发展</w:t>
      </w:r>
      <w:bookmarkEnd w:id="52"/>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加快</w:t>
      </w:r>
      <w:r>
        <w:rPr>
          <w:rFonts w:ascii="Times New Roman" w:hAnsi="Times New Roman" w:eastAsia="仿宋_GB2312" w:cs="Times New Roman"/>
          <w:kern w:val="0"/>
          <w:sz w:val="32"/>
          <w:szCs w:val="32"/>
        </w:rPr>
        <w:t>学前教育普及普惠发展。加大公办幼儿园建设力度，优化城区幼儿园布局，增加公办学位供给。启动实施“一村一园”项目，鼓励事业单位、街道、社区、村集体、社会机构创办幼儿园。</w:t>
      </w:r>
      <w:r>
        <w:rPr>
          <w:rFonts w:hint="eastAsia" w:ascii="Times New Roman" w:hAnsi="Times New Roman" w:eastAsia="仿宋_GB2312" w:cs="Times New Roman"/>
          <w:kern w:val="0"/>
          <w:sz w:val="32"/>
          <w:szCs w:val="32"/>
        </w:rPr>
        <w:t>逐步</w:t>
      </w:r>
      <w:r>
        <w:rPr>
          <w:rFonts w:ascii="Times New Roman" w:hAnsi="Times New Roman" w:eastAsia="仿宋_GB2312" w:cs="Times New Roman"/>
          <w:kern w:val="0"/>
          <w:sz w:val="32"/>
          <w:szCs w:val="32"/>
        </w:rPr>
        <w:t>提高幼儿园生均公用经费标准和普惠性幼儿园奖补标准。探索建立幼儿园保教质量评估监管体系，进一步规范办园行为。</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持续推进义务教育</w:t>
      </w:r>
      <w:r>
        <w:rPr>
          <w:rFonts w:ascii="Times New Roman" w:hAnsi="Times New Roman" w:eastAsia="仿宋_GB2312" w:cs="Times New Roman"/>
          <w:kern w:val="0"/>
          <w:sz w:val="32"/>
          <w:szCs w:val="32"/>
        </w:rPr>
        <w:t>优质均衡发展。统筹规划全市教育发展用地，在城区新建义务教育学校，全面消除大校额。</w:t>
      </w:r>
      <w:r>
        <w:rPr>
          <w:rFonts w:hint="eastAsia" w:ascii="Times New Roman" w:hAnsi="Times New Roman" w:eastAsia="仿宋_GB2312" w:cs="Times New Roman"/>
          <w:kern w:val="0"/>
          <w:sz w:val="32"/>
          <w:szCs w:val="32"/>
        </w:rPr>
        <w:t>以创建省级规范化学校工作为突破口，推进特色学校创建工作。</w:t>
      </w:r>
      <w:r>
        <w:rPr>
          <w:rFonts w:ascii="Times New Roman" w:hAnsi="Times New Roman" w:eastAsia="仿宋_GB2312" w:cs="Times New Roman"/>
          <w:kern w:val="0"/>
          <w:sz w:val="32"/>
          <w:szCs w:val="32"/>
        </w:rPr>
        <w:t>重点改善农村贫困地区学校和薄弱环节学校，提高义务教育学校标准化建设水平。推进乡镇寄宿制学校、乡村小规模学校及优美乡村学校建设，逐步实现标准班额，保障学生就近享有优质教育。</w:t>
      </w:r>
      <w:r>
        <w:rPr>
          <w:rFonts w:hint="eastAsia" w:ascii="Times New Roman" w:hAnsi="Times New Roman" w:eastAsia="仿宋_GB2312" w:cs="Times New Roman"/>
          <w:kern w:val="0"/>
          <w:sz w:val="32"/>
          <w:szCs w:val="32"/>
        </w:rPr>
        <w:t>实施高中阶段教育改革，探索突出特色办学新路子，力争创建1-2所“省一级学校”。实施教师“市管校聘”改革。</w:t>
      </w:r>
      <w:r>
        <w:rPr>
          <w:rFonts w:ascii="Times New Roman" w:hAnsi="Times New Roman" w:eastAsia="仿宋_GB2312" w:cs="Times New Roman"/>
          <w:kern w:val="0"/>
          <w:sz w:val="32"/>
          <w:szCs w:val="32"/>
        </w:rPr>
        <w:t>继续推进“一市两校一园”项目，谋划建设国际学校，引进更高水平合作办学项目。深化教育教学改革，注重体育锻炼和美育熏陶，深入推进“好校长、好教师”工作，</w:t>
      </w:r>
      <w:r>
        <w:rPr>
          <w:rFonts w:hint="eastAsia" w:ascii="Times New Roman" w:hAnsi="Times New Roman" w:eastAsia="仿宋_GB2312" w:cs="Times New Roman"/>
          <w:kern w:val="0"/>
          <w:sz w:val="32"/>
          <w:szCs w:val="32"/>
        </w:rPr>
        <w:t>加强基础教育学校标准化建设。完善以随班就读为主体、特殊教育学校为骨干、送教上门和远程教育为补充的特殊教育体系，实现适龄残疾少年儿童义务教育全覆盖。重视孤儿、困境儿童、农村留守儿童关爱教育。</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推广</w:t>
      </w:r>
      <w:r>
        <w:rPr>
          <w:rFonts w:ascii="Times New Roman" w:hAnsi="Times New Roman" w:eastAsia="仿宋_GB2312" w:cs="Times New Roman"/>
          <w:kern w:val="0"/>
          <w:sz w:val="32"/>
          <w:szCs w:val="32"/>
        </w:rPr>
        <w:t>职业教育和专门教育。加快发展现代职业教育，深化职普融通、产教融合、校企合作，精准培养油气化工、航空、旅游等技术技能人才。做大做强东方市中等职业学校，争取国际知名职业院校独资或合资创办实用型职业院校，将海南文化旅游职业学院创办成国际化学校。加快推进建设一所法治化、科学化的专门学校，建立完善的专门教育保障机制，教育和矫治有不良行为的未成年人。</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53" w:name="_Toc61275607"/>
      <w:r>
        <w:rPr>
          <w:rFonts w:ascii="Times New Roman" w:hAnsi="Times New Roman" w:eastAsia="楷体_GB2312" w:cs="Times New Roman"/>
        </w:rPr>
        <w:t>第二节  提升全民健康水平</w:t>
      </w:r>
      <w:bookmarkEnd w:id="53"/>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优化医疗卫生资源布局。加快“一县（市）一院”建设，努力引进优质医疗资源推进三级医院建设。加快推进市妇幼保健院改扩建、精神卫生专科医院等公共卫生防控救治能力项目建设和市医管中心、紧急医学救援指挥中心机构建设。完善城区社区卫生服务机构建设。</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升医疗卫生服务能力。探索推进县（市）域医共体建设。深化医联体建设，加大市级医院对乡镇卫生院、村卫生室结对帮扶工作力度。全面完成基层医疗卫生机构标准化项目建设，着力优化村卫生室资源配置。加强公共卫生疾病预防控制体系建设，全面提升公共卫生和疾病防控救治能力。结合智慧城市建设，大力推动远程医疗服务发展。积极建设三级医院科研教育基地。深化医疗卫生人才工作，强化医疗卫生人才队伍梯队建设。深化人事薪酬制度改革，落实好“市属乡用”“乡属村用”、基层医疗卫生健康人才激励机制和提高乡村医生待遇政策，吸引人才资源层层下沉，努力满足群众不同层次就医需求。</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完善健康公共服务体系。推进健康东方行动。加强职业健康服务能力建设。积极发展健康产业。大力推动中医药事业高质量发展。加快推动从以治病为中心转变为以人民健康为中心，全方位、全周期维护和保障人民健康，大幅度提高健康水平。构建“15分钟城市健康服务圈、30分钟乡村健康服务圈”，完善全民健身公共服务体系。针对恶性肿瘤、呼吸系统疾病、伤害、脑血管疾病和心脏病等制约东方人均预期寿命的主要疾病开展专项防治行动，有效提高人均期望寿命。加强全方位健康干预，从社会、心理、环境、营养、运动等多维度为居民提供全面的健康维护和保障服务。</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促进人口均衡发展。完善养老保障措施，增加养老服务和产品供给，构建以居家为基础、社区为依托、机构为补充、医养结合的养老服务体系。建立健全妇幼健康服务体系，优先保障孕产妇、儿童等特殊人群，提高儿科和妇产科医疗水平，降低婴幼儿和孕产妇死亡率。促进妇女全面发展，切实保障妇女权益，为妇女在就业及参与各类经济文化社会事务等方面提供公平进入机会，坚决打击侵犯妇女权益的行为。消除针对妇女的偏见、歧视、暴力，让性别平等真正成为全社会共同遵循的行为规范和价值标准。深入开展关爱女孩行动，改善女孩生存环境。坚持儿童优先发展原则，完善儿童保护和儿童福利体系，加强儿童保健服务和管理。加强残疾人康复服务保障体系建设。</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54" w:name="_Toc61275608"/>
      <w:r>
        <w:rPr>
          <w:rFonts w:ascii="Times New Roman" w:hAnsi="Times New Roman" w:eastAsia="楷体_GB2312" w:cs="Times New Roman"/>
        </w:rPr>
        <w:t>第三节  促进城乡就业提高居民收入水平</w:t>
      </w:r>
      <w:bookmarkEnd w:id="54"/>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强化就业优先政策。大力发展特色高效农业、海洋经济、劳动密集型制造业、生活性服务业、旅游等产业吸纳就业，实现经济增长与扩大就业良性循环。全面落实稳就业各项优惠政策，推动产业、财税、金融、贸易、教育、社保等各方面政策围绕稳定和促进就业综合发力。积极统筹城乡就业，健全城乡劳动者平等就业制度，推动农村劳动力有序转移。</w:t>
      </w:r>
      <w:r>
        <w:rPr>
          <w:rFonts w:hint="eastAsia" w:ascii="Times New Roman" w:hAnsi="Times New Roman" w:eastAsia="仿宋_GB2312" w:cs="Times New Roman"/>
          <w:kern w:val="0"/>
          <w:sz w:val="32"/>
          <w:szCs w:val="32"/>
        </w:rPr>
        <w:t>抓好高校毕业生、农民工、退役军人等重点群体的就业创业服务，围绕补齐民生短板拓展公益性岗位。</w:t>
      </w:r>
      <w:r>
        <w:rPr>
          <w:rFonts w:ascii="Times New Roman" w:hAnsi="Times New Roman" w:eastAsia="仿宋_GB2312" w:cs="Times New Roman"/>
          <w:kern w:val="0"/>
          <w:sz w:val="32"/>
          <w:szCs w:val="32"/>
        </w:rPr>
        <w:t>深入实施创业带就业</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加强对灵活就业、新就业形态的支持，高质量建设一批创业培训（实训）基地、创业孵化基地。健全就业保障促进政策体系</w:t>
      </w:r>
      <w:r>
        <w:rPr>
          <w:rFonts w:hint="eastAsia" w:ascii="Times New Roman" w:hAnsi="Times New Roman" w:eastAsia="仿宋_GB2312" w:cs="Times New Roman"/>
          <w:kern w:val="0"/>
          <w:sz w:val="32"/>
          <w:szCs w:val="32"/>
        </w:rPr>
        <w:t>，打造线上线下一体化多功能公共就业创业服务平台。</w:t>
      </w:r>
      <w:r>
        <w:rPr>
          <w:rFonts w:ascii="Times New Roman" w:hAnsi="Times New Roman" w:eastAsia="仿宋_GB2312" w:cs="Times New Roman"/>
          <w:kern w:val="0"/>
          <w:sz w:val="32"/>
          <w:szCs w:val="32"/>
        </w:rPr>
        <w:t>加强对重点群体的就业技能培训和创业培训，进一步提升劳动者的职业技能水平。</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稳步提高居民收入。健全工资正常增长机制，实现城乡居民收入增长与经济增长同步，劳动报酬与劳动生产率提高同步。健全最低工资标准调整和工资支付保障长效机制。完善再分配机制，加大税收、社保、转移支付等调节力度和精准性。开展激发重点群体增收活力改革试点，大力促进农民增收，拓宽城镇居民劳动收入和财产性收入渠道，缩减城乡居民收入差距。推进事业单位改革和人才评价机制改革，加快完善与自贸港建设相适应、体现工作绩效和分级分类管理的机关事业单位工资分配政策和正常增长机制。</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55" w:name="_Toc61275609"/>
      <w:bookmarkStart w:id="56" w:name="_Hlk61120321"/>
      <w:r>
        <w:rPr>
          <w:rFonts w:ascii="Times New Roman" w:hAnsi="Times New Roman" w:eastAsia="楷体_GB2312" w:cs="Times New Roman"/>
        </w:rPr>
        <w:t>第四节  完善多层次社会保障体系</w:t>
      </w:r>
      <w:bookmarkEnd w:id="55"/>
    </w:p>
    <w:bookmarkEnd w:id="56"/>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创新医疗保障制度。强化基本医疗保险、大病保险与医疗救助三重保障功能，健全重特大疾病医疗保险和救助制度，完善重大疫情医疗救治费用保障机制，促进各类医疗保障互补衔接。全面落实基本医保待遇政策，</w:t>
      </w:r>
      <w:r>
        <w:rPr>
          <w:rFonts w:hint="eastAsia" w:ascii="Times New Roman" w:hAnsi="Times New Roman" w:eastAsia="仿宋_GB2312" w:cs="Times New Roman"/>
          <w:kern w:val="0"/>
          <w:sz w:val="32"/>
          <w:szCs w:val="32"/>
        </w:rPr>
        <w:t>继续保持农村贫困人口基本医疗、大病保险覆盖率</w:t>
      </w:r>
      <w:r>
        <w:rPr>
          <w:rFonts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lang w:eastAsia="zh-CN"/>
        </w:rPr>
        <w:t>，实现农村困难人口基本医疗、大病保险覆盖率达到100%。</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健全社会基本保障体系。</w:t>
      </w:r>
      <w:r>
        <w:rPr>
          <w:rFonts w:hint="eastAsia" w:ascii="Times New Roman" w:hAnsi="Times New Roman" w:eastAsia="仿宋_GB2312" w:cs="Times New Roman"/>
          <w:kern w:val="0"/>
          <w:sz w:val="32"/>
          <w:szCs w:val="32"/>
        </w:rPr>
        <w:t>落实城乡居民基本养老保险待遇确定和基础养老金正常调整机制。全面实施全民参保计划，</w:t>
      </w:r>
      <w:r>
        <w:rPr>
          <w:rFonts w:hint="eastAsia" w:ascii="Times New Roman" w:hAnsi="Times New Roman" w:eastAsia="仿宋_GB2312" w:cs="Times New Roman"/>
          <w:kern w:val="0"/>
          <w:sz w:val="32"/>
          <w:szCs w:val="32"/>
          <w:lang w:eastAsia="zh-CN"/>
        </w:rPr>
        <w:t>推动</w:t>
      </w:r>
      <w:r>
        <w:rPr>
          <w:rFonts w:hint="eastAsia" w:ascii="Times New Roman" w:hAnsi="Times New Roman" w:eastAsia="仿宋_GB2312" w:cs="Times New Roman"/>
          <w:kern w:val="0"/>
          <w:sz w:val="32"/>
          <w:szCs w:val="32"/>
        </w:rPr>
        <w:t>实现城镇职工养老保险由制度全覆盖到法定人员全覆盖，城乡居民养老保险基本实现适龄参保人员应保尽保</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探索灵活就业人员参加失业保险新模式</w:t>
      </w:r>
      <w:r>
        <w:rPr>
          <w:rFonts w:hint="eastAsia" w:ascii="Times New Roman" w:hAnsi="Times New Roman" w:eastAsia="仿宋_GB2312" w:cs="Times New Roman"/>
          <w:kern w:val="0"/>
          <w:sz w:val="32"/>
          <w:szCs w:val="32"/>
        </w:rPr>
        <w:t>，逐步</w:t>
      </w:r>
      <w:r>
        <w:rPr>
          <w:rFonts w:ascii="Times New Roman" w:hAnsi="Times New Roman" w:eastAsia="仿宋_GB2312" w:cs="Times New Roman"/>
          <w:kern w:val="0"/>
          <w:sz w:val="32"/>
          <w:szCs w:val="32"/>
        </w:rPr>
        <w:t>建立灵活就业人员职业伤害保障制度。完善城乡社会救助体系，推动形成低保、城乡困难职工和低收入家庭梯度救助格局。统筹完善社会救助、社会福利、慈善事业、优抚安置等制度，推进扶老、助残、救孤、济困等福利事业发展。完善殡葬基础设施，健全殡葬救助保障制度，推行绿色文明殡葬。</w:t>
      </w:r>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做好“菜篮子”</w:t>
      </w:r>
      <w:r>
        <w:rPr>
          <w:rFonts w:hint="eastAsia" w:ascii="Times New Roman" w:hAnsi="Times New Roman" w:eastAsia="仿宋_GB2312" w:cs="Times New Roman"/>
          <w:kern w:val="0"/>
          <w:sz w:val="32"/>
          <w:szCs w:val="32"/>
          <w:lang w:eastAsia="zh-CN"/>
        </w:rPr>
        <w:t>“米袋子</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保供稳价惠民。严格落实“菜篮子”市县长负责制和“菜十条”措施，统筹抓好生产发展、产销衔接、流通运输、市场调控、质量安全等各项工作，保障负责辖区内蔬菜、肉蛋奶、水产品等供应。扩大常年蔬菜种植面积，显著提高蔬菜自给率。加快公益性农产品批发市场和公益性农贸市场建设，推动形成产供销联合体。完善蔬菜监测预警保供稳价机制和物价联动补贴机制，降低物价水平，惠及群众百姓。切实做好保供应急工作，建成储量充足、质量良好、管理科学、保障有力的粮食和物资储备管理体系。</w:t>
      </w:r>
      <w:r>
        <w:rPr>
          <w:rFonts w:hint="eastAsia" w:ascii="Times New Roman" w:hAnsi="Times New Roman" w:eastAsia="仿宋_GB2312" w:cs="Times New Roman"/>
          <w:kern w:val="0"/>
          <w:sz w:val="32"/>
          <w:szCs w:val="32"/>
          <w:lang w:eastAsia="zh-CN"/>
        </w:rPr>
        <w:t>探索建设成品粮和生猪活体储备体系。</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ind w:left="0" w:leftChars="0" w:right="0" w:rightChars="0"/>
        <w:jc w:val="center"/>
        <w:textAlignment w:val="auto"/>
        <w:rPr>
          <w:rFonts w:ascii="Times New Roman" w:hAnsi="Times New Roman" w:eastAsia="楷体_GB2312" w:cs="Times New Roman"/>
        </w:rPr>
      </w:pPr>
      <w:bookmarkStart w:id="57" w:name="_Toc61275610"/>
      <w:r>
        <w:rPr>
          <w:rFonts w:ascii="Times New Roman" w:hAnsi="Times New Roman" w:eastAsia="楷体_GB2312" w:cs="Times New Roman"/>
        </w:rPr>
        <w:t>第</w:t>
      </w:r>
      <w:r>
        <w:rPr>
          <w:rFonts w:hint="eastAsia" w:ascii="Times New Roman" w:hAnsi="Times New Roman" w:eastAsia="楷体_GB2312" w:cs="Times New Roman"/>
        </w:rPr>
        <w:t>五</w:t>
      </w:r>
      <w:r>
        <w:rPr>
          <w:rFonts w:ascii="Times New Roman" w:hAnsi="Times New Roman" w:eastAsia="楷体_GB2312" w:cs="Times New Roman"/>
        </w:rPr>
        <w:t>节  促进房地产市场平稳健康发展</w:t>
      </w:r>
      <w:bookmarkEnd w:id="57"/>
    </w:p>
    <w:p>
      <w:pPr>
        <w:keepNext w:val="0"/>
        <w:keepLines w:val="0"/>
        <w:pageBreakBefore w:val="0"/>
        <w:kinsoku/>
        <w:wordWrap/>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房子是用来住的、不是用来炒的”的定位，探索支持利用集体建设用地按照规划建设租赁住房，建立多主体供给、多渠道保障、租购并举的住房保障供应体系，促进房地产市场平稳健康发展。加快推进滨海片区棚户区改造项目建设，有序推进城镇老旧小区改造。完善公共租赁住房保障制度，满足困难群众基本住房需要。加快推进安居型商品住房建设，满足居民家庭基本住房需求，解决本地居民、基层教师、医务人员及引进人才住房问题。发展市场化商品住房、市场化租赁住房，满足全市居民多层次居住需求和外地居民旅游租赁住房需求。建立健全房地产调控长效机制和调控评价考核查处机制，推动存量商品住宅用地向商务、旅游、商业、工业等鼓励类地产转型发展。</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topLinePunct w:val="0"/>
              <w:autoSpaceDE/>
              <w:autoSpaceDN/>
              <w:bidi w:val="0"/>
              <w:adjustRightInd w:val="0"/>
              <w:snapToGrid w:val="0"/>
              <w:spacing w:before="156" w:beforeLines="50" w:line="240" w:lineRule="auto"/>
              <w:ind w:left="0" w:leftChars="0" w:right="0" w:rightChars="0"/>
              <w:jc w:val="center"/>
              <w:textAlignment w:val="auto"/>
              <w:rPr>
                <w:rFonts w:ascii="Times New Roman" w:hAnsi="Times New Roman" w:eastAsia="宋体" w:cs="Times New Roman"/>
                <w:b/>
                <w:kern w:val="0"/>
                <w:sz w:val="28"/>
                <w:szCs w:val="28"/>
              </w:rPr>
            </w:pPr>
            <w:r>
              <w:rPr>
                <w:rFonts w:hint="eastAsia" w:ascii="黑体" w:hAnsi="黑体" w:eastAsia="黑体"/>
                <w:bCs/>
                <w:sz w:val="28"/>
                <w:szCs w:val="28"/>
              </w:rPr>
              <w:t>专栏</w:t>
            </w:r>
            <w:r>
              <w:rPr>
                <w:rFonts w:hint="eastAsia" w:ascii="黑体" w:hAnsi="黑体" w:eastAsia="黑体"/>
                <w:bCs/>
                <w:sz w:val="28"/>
                <w:szCs w:val="28"/>
                <w:lang w:val="en-US" w:eastAsia="zh-CN"/>
              </w:rPr>
              <w:t>9</w:t>
            </w:r>
            <w:r>
              <w:rPr>
                <w:rFonts w:hint="eastAsia" w:ascii="黑体" w:hAnsi="黑体" w:eastAsia="黑体"/>
                <w:bCs/>
                <w:sz w:val="28"/>
                <w:szCs w:val="28"/>
              </w:rPr>
              <w:t xml:space="preserve">  民生事业重点工程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lang w:eastAsia="zh-CN"/>
              </w:rPr>
            </w:pPr>
            <w:r>
              <w:rPr>
                <w:rFonts w:hint="eastAsia" w:ascii="楷体_GB2312" w:eastAsia="楷体_GB2312" w:hAnsiTheme="minorHAnsi" w:cstheme="minorBidi"/>
                <w:b/>
                <w:bCs w:val="0"/>
                <w:kern w:val="2"/>
                <w:sz w:val="28"/>
                <w:szCs w:val="28"/>
                <w:lang w:eastAsia="zh-CN"/>
              </w:rPr>
              <w:t>（一）基础教育及综合保障</w:t>
            </w:r>
            <w:r>
              <w:rPr>
                <w:rFonts w:hint="eastAsia" w:ascii="楷体_GB2312" w:eastAsia="楷体_GB2312" w:cstheme="minorBidi"/>
                <w:b/>
                <w:bCs w:val="0"/>
                <w:kern w:val="2"/>
                <w:sz w:val="28"/>
                <w:szCs w:val="28"/>
                <w:lang w:eastAsia="zh-CN"/>
              </w:rPr>
              <w:t>：</w:t>
            </w:r>
            <w:r>
              <w:rPr>
                <w:rFonts w:hint="eastAsia" w:ascii="仿宋_GB2312" w:hAnsi="仿宋_GB2312" w:eastAsia="仿宋_GB2312" w:cs="仿宋_GB2312"/>
                <w:b w:val="0"/>
                <w:bCs/>
                <w:kern w:val="2"/>
                <w:sz w:val="28"/>
                <w:szCs w:val="28"/>
                <w:lang w:eastAsia="zh-CN"/>
              </w:rPr>
              <w:t>八所镇第六幼儿园、市第五实验学校、永安幼儿园（第五幼儿园）、琼西路小学（三沙湾地块）、康福路小学、洋浦经济开发区东方临港产业园基础教育配套工程（东方市第四实验学校），东方市寄宿制学校学生宿舍、西南大学东方实验中学人才楼。</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lang w:eastAsia="zh-CN"/>
              </w:rPr>
            </w:pPr>
            <w:r>
              <w:rPr>
                <w:rFonts w:hint="eastAsia" w:ascii="楷体_GB2312" w:eastAsia="楷体_GB2312" w:hAnsiTheme="minorHAnsi" w:cstheme="minorBidi"/>
                <w:b/>
                <w:bCs w:val="0"/>
                <w:kern w:val="2"/>
                <w:sz w:val="28"/>
                <w:szCs w:val="28"/>
                <w:lang w:eastAsia="zh-CN"/>
              </w:rPr>
              <w:t>（二）医疗健康</w:t>
            </w:r>
            <w:r>
              <w:rPr>
                <w:rFonts w:hint="eastAsia" w:ascii="楷体_GB2312" w:eastAsia="楷体_GB2312" w:cstheme="minorBidi"/>
                <w:b/>
                <w:bCs w:val="0"/>
                <w:kern w:val="2"/>
                <w:sz w:val="28"/>
                <w:szCs w:val="28"/>
                <w:lang w:eastAsia="zh-CN"/>
              </w:rPr>
              <w:t>：</w:t>
            </w:r>
            <w:r>
              <w:rPr>
                <w:rFonts w:hint="eastAsia" w:ascii="仿宋_GB2312" w:hAnsi="仿宋_GB2312" w:eastAsia="仿宋_GB2312" w:cs="仿宋_GB2312"/>
                <w:b w:val="0"/>
                <w:bCs/>
                <w:kern w:val="2"/>
                <w:sz w:val="28"/>
                <w:szCs w:val="28"/>
              </w:rPr>
              <w:t>东方市中医院能力提升项目</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东方市疾病预防控制中心公共卫生应急防控能力建设项目</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东方市人民医院公共卫生防控救治能力建设项目</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东方市妇幼保健院改扩建项目</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东方市精神卫生专科医院（二级专科）项目</w:t>
            </w:r>
            <w:r>
              <w:rPr>
                <w:rFonts w:hint="eastAsia" w:ascii="仿宋_GB2312" w:hAnsi="仿宋_GB2312" w:eastAsia="仿宋_GB2312" w:cs="仿宋_GB2312"/>
                <w:b w:val="0"/>
                <w:bCs/>
                <w:kern w:val="2"/>
                <w:sz w:val="28"/>
                <w:szCs w:val="28"/>
                <w:lang w:eastAsia="zh-CN"/>
              </w:rPr>
              <w:t>等。</w:t>
            </w:r>
            <w:r>
              <w:rPr>
                <w:rFonts w:hint="eastAsia" w:ascii="仿宋_GB2312" w:hAnsi="仿宋_GB2312" w:eastAsia="仿宋_GB2312" w:cs="仿宋_GB2312"/>
                <w:b w:val="0"/>
                <w:bCs/>
                <w:kern w:val="2"/>
                <w:sz w:val="28"/>
                <w:szCs w:val="28"/>
              </w:rPr>
              <w:t>东方市人民医院、东方医院、东方市中医院、东方市妇幼保健院、港区医院</w:t>
            </w:r>
            <w:r>
              <w:rPr>
                <w:rFonts w:hint="eastAsia" w:ascii="仿宋_GB2312" w:hAnsi="仿宋_GB2312" w:eastAsia="仿宋_GB2312" w:cs="仿宋_GB2312"/>
                <w:b w:val="0"/>
                <w:bCs/>
                <w:kern w:val="2"/>
                <w:sz w:val="28"/>
                <w:szCs w:val="28"/>
                <w:lang w:eastAsia="zh-CN"/>
              </w:rPr>
              <w:t>等</w:t>
            </w:r>
            <w:r>
              <w:rPr>
                <w:rFonts w:hint="eastAsia" w:ascii="仿宋_GB2312" w:hAnsi="仿宋_GB2312" w:eastAsia="仿宋_GB2312" w:cs="仿宋_GB2312"/>
                <w:b w:val="0"/>
                <w:bCs/>
                <w:kern w:val="2"/>
                <w:sz w:val="28"/>
                <w:szCs w:val="28"/>
              </w:rPr>
              <w:t>医疗信息化建设</w:t>
            </w:r>
            <w:r>
              <w:rPr>
                <w:rFonts w:hint="eastAsia" w:ascii="仿宋_GB2312" w:hAnsi="仿宋_GB2312" w:eastAsia="仿宋_GB2312" w:cs="仿宋_GB2312"/>
                <w:b w:val="0"/>
                <w:bCs/>
                <w:kern w:val="2"/>
                <w:sz w:val="28"/>
                <w:szCs w:val="28"/>
                <w:lang w:eastAsia="zh-CN"/>
              </w:rPr>
              <w:t>项目。</w:t>
            </w:r>
            <w:r>
              <w:rPr>
                <w:rFonts w:hint="eastAsia" w:ascii="仿宋_GB2312" w:hAnsi="仿宋_GB2312" w:eastAsia="仿宋_GB2312" w:cs="仿宋_GB2312"/>
                <w:b w:val="0"/>
                <w:bCs/>
                <w:kern w:val="2"/>
                <w:sz w:val="28"/>
                <w:szCs w:val="28"/>
              </w:rPr>
              <w:t>八所镇卫生院</w:t>
            </w:r>
            <w:r>
              <w:rPr>
                <w:rFonts w:hint="eastAsia" w:ascii="仿宋_GB2312" w:hAnsi="仿宋_GB2312" w:eastAsia="仿宋_GB2312" w:cs="仿宋_GB2312"/>
                <w:b w:val="0"/>
                <w:bCs/>
                <w:kern w:val="2"/>
                <w:sz w:val="28"/>
                <w:szCs w:val="28"/>
                <w:lang w:eastAsia="zh-CN"/>
              </w:rPr>
              <w:t>项目，</w:t>
            </w:r>
            <w:r>
              <w:rPr>
                <w:rFonts w:hint="eastAsia" w:ascii="仿宋_GB2312" w:hAnsi="仿宋_GB2312" w:eastAsia="仿宋_GB2312" w:cs="仿宋_GB2312"/>
                <w:b w:val="0"/>
                <w:bCs/>
                <w:kern w:val="2"/>
                <w:sz w:val="28"/>
                <w:szCs w:val="28"/>
              </w:rPr>
              <w:t>东方市琼西</w:t>
            </w:r>
            <w:r>
              <w:rPr>
                <w:rFonts w:hint="eastAsia" w:ascii="仿宋_GB2312" w:hAnsi="仿宋_GB2312" w:eastAsia="仿宋_GB2312" w:cs="仿宋_GB2312"/>
                <w:b w:val="0"/>
                <w:bCs/>
                <w:kern w:val="2"/>
                <w:sz w:val="28"/>
                <w:szCs w:val="28"/>
                <w:lang w:eastAsia="zh-CN"/>
              </w:rPr>
              <w:t>社区、</w:t>
            </w:r>
            <w:r>
              <w:rPr>
                <w:rFonts w:hint="eastAsia" w:ascii="仿宋_GB2312" w:hAnsi="仿宋_GB2312" w:eastAsia="仿宋_GB2312" w:cs="仿宋_GB2312"/>
                <w:b w:val="0"/>
                <w:bCs/>
                <w:kern w:val="2"/>
                <w:sz w:val="28"/>
                <w:szCs w:val="28"/>
              </w:rPr>
              <w:t>解放社区卫生服务站</w:t>
            </w:r>
            <w:r>
              <w:rPr>
                <w:rFonts w:hint="eastAsia" w:ascii="仿宋_GB2312" w:hAnsi="仿宋_GB2312" w:eastAsia="仿宋_GB2312" w:cs="仿宋_GB2312"/>
                <w:b w:val="0"/>
                <w:bCs/>
                <w:kern w:val="2"/>
                <w:sz w:val="28"/>
                <w:szCs w:val="28"/>
                <w:lang w:eastAsia="zh-CN"/>
              </w:rPr>
              <w:t>项目等。</w:t>
            </w:r>
          </w:p>
          <w:p>
            <w:pPr>
              <w:keepNext w:val="0"/>
              <w:keepLines w:val="0"/>
              <w:pageBreakBefore w:val="0"/>
              <w:kinsoku/>
              <w:wordWrap/>
              <w:overflowPunct w:val="0"/>
              <w:topLinePunct w:val="0"/>
              <w:autoSpaceDE/>
              <w:autoSpaceDN/>
              <w:bidi w:val="0"/>
              <w:adjustRightInd/>
              <w:snapToGrid/>
              <w:spacing w:beforeLines="0" w:afterLines="0" w:line="600" w:lineRule="exact"/>
              <w:ind w:left="0" w:leftChars="0" w:right="0" w:rightChars="0" w:firstLine="562" w:firstLineChars="200"/>
              <w:textAlignment w:val="auto"/>
              <w:rPr>
                <w:rFonts w:hint="eastAsia" w:ascii="仿宋_GB2312" w:hAnsi="仿宋_GB2312" w:eastAsia="仿宋_GB2312" w:cs="仿宋_GB2312"/>
                <w:b w:val="0"/>
                <w:bCs/>
                <w:kern w:val="2"/>
                <w:sz w:val="28"/>
                <w:szCs w:val="28"/>
                <w:lang w:eastAsia="zh-CN"/>
              </w:rPr>
            </w:pPr>
            <w:r>
              <w:rPr>
                <w:rFonts w:hint="eastAsia" w:ascii="楷体_GB2312" w:eastAsia="楷体_GB2312" w:hAnsiTheme="minorHAnsi" w:cstheme="minorBidi"/>
                <w:b/>
                <w:bCs w:val="0"/>
                <w:kern w:val="2"/>
                <w:sz w:val="28"/>
                <w:szCs w:val="28"/>
                <w:lang w:eastAsia="zh-CN"/>
              </w:rPr>
              <w:t>（三）住房保障：</w:t>
            </w:r>
            <w:r>
              <w:rPr>
                <w:rFonts w:hint="eastAsia" w:ascii="仿宋_GB2312" w:hAnsi="仿宋_GB2312" w:eastAsia="仿宋_GB2312" w:cs="仿宋_GB2312"/>
                <w:b w:val="0"/>
                <w:bCs/>
                <w:kern w:val="2"/>
                <w:sz w:val="28"/>
                <w:szCs w:val="28"/>
                <w:lang w:eastAsia="zh-CN"/>
              </w:rPr>
              <w:t>东方市滨海片区（一期）棚户区改造安置房、安居型商品房（新安家园三期）等项目。</w:t>
            </w:r>
          </w:p>
        </w:tc>
      </w:tr>
    </w:tbl>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keepNext w:val="0"/>
        <w:keepLines w:val="0"/>
        <w:pageBreakBefore w:val="0"/>
        <w:kinsoku/>
        <w:wordWrap/>
        <w:topLinePunct w:val="0"/>
        <w:autoSpaceDE/>
        <w:autoSpaceDN/>
        <w:bidi w:val="0"/>
        <w:spacing w:line="600" w:lineRule="exact"/>
        <w:textAlignment w:val="auto"/>
      </w:pPr>
    </w:p>
    <w:p>
      <w:pPr>
        <w:pStyle w:val="2"/>
        <w:keepNext w:val="0"/>
        <w:keepLines w:val="0"/>
        <w:pageBreakBefore w:val="0"/>
        <w:kinsoku/>
        <w:wordWrap/>
        <w:topLinePunct w:val="0"/>
        <w:autoSpaceDE/>
        <w:autoSpaceDN/>
        <w:bidi w:val="0"/>
        <w:spacing w:line="600" w:lineRule="exact"/>
        <w:textAlignment w:val="auto"/>
      </w:pPr>
    </w:p>
    <w:p>
      <w:pPr>
        <w:keepNext w:val="0"/>
        <w:keepLines w:val="0"/>
        <w:pageBreakBefore w:val="0"/>
        <w:kinsoku/>
        <w:wordWrap/>
        <w:topLinePunct w:val="0"/>
        <w:autoSpaceDE/>
        <w:autoSpaceDN/>
        <w:bidi w:val="0"/>
        <w:adjustRightInd w:val="0"/>
        <w:snapToGrid w:val="0"/>
        <w:spacing w:line="600" w:lineRule="exact"/>
        <w:jc w:val="center"/>
        <w:textAlignment w:val="auto"/>
        <w:outlineLvl w:val="0"/>
        <w:rPr>
          <w:rFonts w:ascii="Times New Roman" w:hAnsi="Times New Roman" w:eastAsia="黑体" w:cs="Times New Roman"/>
          <w:bCs/>
          <w:kern w:val="44"/>
          <w:sz w:val="32"/>
          <w:szCs w:val="32"/>
        </w:rPr>
      </w:pPr>
      <w:bookmarkStart w:id="58" w:name="_Toc61275611"/>
      <w:r>
        <w:rPr>
          <w:rFonts w:ascii="Times New Roman" w:hAnsi="Times New Roman" w:eastAsia="黑体" w:cs="Times New Roman"/>
          <w:bCs/>
          <w:kern w:val="44"/>
          <w:sz w:val="32"/>
          <w:szCs w:val="32"/>
        </w:rPr>
        <w:t xml:space="preserve">第十一章  </w:t>
      </w:r>
      <w:r>
        <w:rPr>
          <w:rFonts w:hint="default" w:ascii="Times New Roman" w:hAnsi="Times New Roman" w:eastAsia="黑体" w:cs="Times New Roman"/>
          <w:bCs/>
          <w:kern w:val="44"/>
          <w:sz w:val="32"/>
          <w:szCs w:val="32"/>
        </w:rPr>
        <w:t>持续提升城市品质和内涵，建设宜居宜业宜游的国际滨海公园城市</w:t>
      </w:r>
      <w:bookmarkEnd w:id="58"/>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坚持对标国际、引领潮流、高质量建设，提高社会文明程度，加强和创新社会治理，加强重大风险防控体系建设，打造充分彰显自贸港风貌的滨海公园城市</w:t>
      </w:r>
      <w:r>
        <w:rPr>
          <w:rFonts w:ascii="Times New Roman" w:hAnsi="Times New Roman" w:eastAsia="仿宋_GB2312" w:cs="Times New Roman"/>
          <w:kern w:val="0"/>
          <w:sz w:val="32"/>
          <w:szCs w:val="32"/>
        </w:rPr>
        <w:t>。</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59" w:name="_Toc61275612"/>
      <w:r>
        <w:rPr>
          <w:rFonts w:ascii="Times New Roman" w:hAnsi="Times New Roman" w:eastAsia="楷体_GB2312" w:cs="Times New Roman"/>
        </w:rPr>
        <w:t xml:space="preserve">第一节  </w:t>
      </w:r>
      <w:r>
        <w:rPr>
          <w:rFonts w:hint="eastAsia" w:ascii="Times New Roman" w:hAnsi="Times New Roman" w:eastAsia="楷体_GB2312" w:cs="Times New Roman"/>
        </w:rPr>
        <w:t>提升国际滨海公园城市建设水平</w:t>
      </w:r>
      <w:bookmarkEnd w:id="59"/>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以绿色发展和生态文明理念为引领，以服务全民健康休憩活动和美好生活需求为导向，以创造优良城市人居环境为目标，高质量高品质规划建设城市公园体系，通过以形筑城、以绿营城、以水润城，将公园形态与城市空间有机融合，逐步把东方建设成为一个“园在城中、城在园中、城园一体”的大公园，成为生产生活生态空间相宜、自然经济社会人文相融合的新型和谐城市，大幅提升城市品质和生态价值。推进城市生态化改造，推进绿色生态城镇建设，完善水系连通，增强城市防洪排涝能力，建设园林城市。提升公共空间设计水平，统一公共空间整治标准，推进滨海片区城市更新改造，做好片区规划设计，建设城市更新示范项目，打造展示东方形象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城市名片</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城市客厅</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加强城市风貌管控，避免“千城一面、万楼一貌”。打击违法建筑，加强建筑外立面管理，严格控制玻璃幕墙使用，推动采用美观大方、具有良好的色彩和质感的现代建筑材料或富有特色的本土材料。保护历史文化，有序推动城市音乐厅、美术馆、科技馆等重大文化设施建设，提升城市品位。持续推进城区重点路段</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白改黑</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工程和小街小巷黄土裸露整治工程，打通城市</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断头路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22" w:type="dxa"/>
          </w:tcPr>
          <w:p>
            <w:pPr>
              <w:keepNext w:val="0"/>
              <w:keepLines w:val="0"/>
              <w:pageBreakBefore w:val="0"/>
              <w:widowControl/>
              <w:kinsoku/>
              <w:wordWrap/>
              <w:topLinePunct w:val="0"/>
              <w:autoSpaceDE/>
              <w:autoSpaceDN/>
              <w:bidi w:val="0"/>
              <w:adjustRightInd w:val="0"/>
              <w:snapToGrid w:val="0"/>
              <w:spacing w:before="156" w:beforeLines="50" w:line="240" w:lineRule="auto"/>
              <w:jc w:val="center"/>
              <w:textAlignment w:val="auto"/>
              <w:rPr>
                <w:rFonts w:ascii="Times New Roman" w:hAnsi="Times New Roman" w:eastAsia="宋体" w:cs="Times New Roman"/>
                <w:b/>
                <w:kern w:val="0"/>
                <w:sz w:val="28"/>
                <w:szCs w:val="28"/>
              </w:rPr>
            </w:pPr>
            <w:r>
              <w:rPr>
                <w:rFonts w:hint="eastAsia" w:ascii="黑体" w:hAnsi="黑体" w:eastAsia="黑体" w:cs="黑体"/>
                <w:b w:val="0"/>
                <w:bCs/>
                <w:sz w:val="28"/>
                <w:szCs w:val="28"/>
              </w:rPr>
              <w:t>专栏</w:t>
            </w:r>
            <w:r>
              <w:rPr>
                <w:rFonts w:hint="eastAsia" w:ascii="黑体" w:hAnsi="黑体" w:eastAsia="黑体" w:cs="黑体"/>
                <w:b w:val="0"/>
                <w:bCs/>
                <w:sz w:val="28"/>
                <w:szCs w:val="28"/>
                <w:lang w:val="en-US" w:eastAsia="zh-CN"/>
              </w:rPr>
              <w:t>10</w:t>
            </w:r>
            <w:r>
              <w:rPr>
                <w:rFonts w:hint="eastAsia" w:ascii="黑体" w:hAnsi="黑体" w:eastAsia="黑体" w:cs="黑体"/>
                <w:b w:val="0"/>
                <w:bCs/>
                <w:sz w:val="28"/>
                <w:szCs w:val="28"/>
              </w:rPr>
              <w:t xml:space="preserve">  国际滨海公园城市重点工程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val="0"/>
              <w:topLinePunct w:val="0"/>
              <w:autoSpaceDE/>
              <w:autoSpaceDN/>
              <w:bidi w:val="0"/>
              <w:adjustRightInd/>
              <w:snapToGrid/>
              <w:spacing w:beforeLines="0" w:afterLines="0" w:line="600" w:lineRule="exact"/>
              <w:ind w:firstLine="560" w:firstLineChars="200"/>
              <w:textAlignment w:val="auto"/>
              <w:rPr>
                <w:rFonts w:ascii="Times New Roman" w:hAnsi="Times New Roman" w:eastAsia="楷体_GB2312" w:cs="Times New Roman"/>
                <w:kern w:val="0"/>
                <w:sz w:val="24"/>
                <w:szCs w:val="24"/>
              </w:rPr>
            </w:pPr>
            <w:r>
              <w:rPr>
                <w:rFonts w:hint="eastAsia" w:ascii="仿宋_GB2312" w:hAnsi="仿宋_GB2312" w:eastAsia="仿宋_GB2312" w:cs="仿宋_GB2312"/>
                <w:b w:val="0"/>
                <w:bCs/>
                <w:kern w:val="2"/>
                <w:sz w:val="28"/>
                <w:szCs w:val="28"/>
              </w:rPr>
              <w:t>东方市滨海片区（一期）棚户区改造</w:t>
            </w:r>
            <w:r>
              <w:rPr>
                <w:rFonts w:hint="eastAsia" w:ascii="仿宋_GB2312" w:hAnsi="仿宋_GB2312" w:eastAsia="仿宋_GB2312" w:cs="仿宋_GB2312"/>
                <w:b w:val="0"/>
                <w:bCs/>
                <w:kern w:val="2"/>
                <w:sz w:val="28"/>
                <w:szCs w:val="28"/>
                <w:lang w:eastAsia="zh-CN"/>
              </w:rPr>
              <w:t>配套基础设施，湿地、海岸带修复工程，城区水系连通，西湖湿地公园、福民公园、竹金沟公园，市政道路升级新改造工程、</w:t>
            </w:r>
            <w:r>
              <w:rPr>
                <w:rFonts w:hint="eastAsia" w:ascii="仿宋_GB2312" w:hAnsi="仿宋_GB2312" w:eastAsia="仿宋_GB2312" w:cs="仿宋_GB2312"/>
                <w:b w:val="0"/>
                <w:bCs/>
                <w:kern w:val="2"/>
                <w:sz w:val="28"/>
                <w:szCs w:val="28"/>
              </w:rPr>
              <w:t>城区重点路段“白改黑”工程和小街小巷黄土裸露整治工程</w:t>
            </w:r>
            <w:r>
              <w:rPr>
                <w:rFonts w:hint="eastAsia" w:ascii="仿宋_GB2312" w:hAnsi="仿宋_GB2312" w:eastAsia="仿宋_GB2312" w:cs="仿宋_GB2312"/>
                <w:b w:val="0"/>
                <w:bCs/>
                <w:kern w:val="2"/>
                <w:sz w:val="28"/>
                <w:szCs w:val="28"/>
                <w:lang w:eastAsia="zh-CN"/>
              </w:rPr>
              <w:t>。</w:t>
            </w:r>
          </w:p>
        </w:tc>
      </w:tr>
    </w:tbl>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0" w:name="_Toc61275613"/>
      <w:bookmarkStart w:id="61" w:name="_Hlk61112811"/>
      <w:r>
        <w:rPr>
          <w:rFonts w:hint="eastAsia" w:ascii="Times New Roman" w:hAnsi="Times New Roman" w:eastAsia="楷体_GB2312" w:cs="Times New Roman"/>
        </w:rPr>
        <w:t>第二节</w:t>
      </w:r>
      <w:r>
        <w:rPr>
          <w:rFonts w:ascii="Times New Roman" w:hAnsi="Times New Roman" w:eastAsia="楷体_GB2312" w:cs="Times New Roman"/>
        </w:rPr>
        <w:t xml:space="preserve">  </w:t>
      </w:r>
      <w:r>
        <w:rPr>
          <w:rFonts w:hint="eastAsia" w:ascii="Times New Roman" w:hAnsi="Times New Roman" w:eastAsia="楷体_GB2312" w:cs="Times New Roman"/>
        </w:rPr>
        <w:t>建设崇德向善的文明城市</w:t>
      </w:r>
      <w:bookmarkEnd w:id="60"/>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推动精神文明建设。大力弘扬和践行社会主义核心价值观，深入开展社会文明大行动，深化“五大文明”创建活动，创建全国文明城市。广泛开展“东方十大好人”等道德模范推选评树活动，培育市民文明素养和人文精神。深化开展“四爱”卫生健康大行动，着力整治城乡环境脏乱差和不文明行为等。提升公共文化服务水平。建设新时代文明实践中心，倡导志愿服务理念，完善志愿者服务体系，深入开展志愿服务活动。</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丰富人民群众精神文化生活。充分利用东河黎锦、村话民歌、竹竿舞等乡土文化资源和</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三月三</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牛节、山兰节等传统节日，开展广泛采风和创作，组织开展丰富多彩的民俗文化活动，促进更多文艺作品竞相涌现。支持对白查船型屋、汉马伏波井等重点文物和非物质文化遗产开展广泛采风和创作，促进更多接地气、有泥土气息的文艺作品竞相涌现，以文惠民、以文润市，引导群众崇德向善。加强农村文化建设，推动全市行政村文体活动中心全覆盖。培育文明乡风，引导树立良好家风家教，改变农村陈规陋习。建立健全村民议事会、红白理事会，指导制定适合当地实际的村规民约，改变大操大办、打牌赌博、厚葬薄养、封建迷信等陈规陋习，杜绝铺张浪费之风。加强农村意识形态建设，强化对农村宗教活动、宗教场所和民间信仰活动的管理，坚决防范打击宗教渗透破坏活动。</w:t>
      </w:r>
    </w:p>
    <w:bookmarkEnd w:id="61"/>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2" w:name="_Toc61275614"/>
      <w:r>
        <w:rPr>
          <w:rFonts w:ascii="Times New Roman" w:hAnsi="Times New Roman" w:eastAsia="楷体_GB2312" w:cs="Times New Roman"/>
        </w:rPr>
        <w:t xml:space="preserve">第三节  </w:t>
      </w:r>
      <w:r>
        <w:rPr>
          <w:rFonts w:hint="eastAsia" w:ascii="Times New Roman" w:hAnsi="Times New Roman" w:eastAsia="楷体_GB2312" w:cs="Times New Roman"/>
        </w:rPr>
        <w:t>加强平安东方建设</w:t>
      </w:r>
      <w:bookmarkEnd w:id="62"/>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打好政治安全保卫战，防范各类风险。推进综治中心建设，加快社会管理信息化总平台、综治分平台、公安分平台、环岛边海防立体防控分平台、应急消防平台等建设。强化法治东方建设，深入推进依法行政，深化行政执法“三项制度”全覆盖。加强法治宣传教育，将《民法典》作为普法工作重点内容，引导群众自觉守法、遇事找法，通过法律来解决问题，以法治理念和法治方式统筹社会力量、平衡社会利益、调节社会关系、规范社会行为。完善矛盾纠纷多元化解“四位一体”</w:t>
      </w:r>
      <w:r>
        <w:rPr>
          <w:rFonts w:hint="eastAsia" w:ascii="Times New Roman" w:hAnsi="Times New Roman" w:eastAsia="仿宋_GB2312" w:cs="Times New Roman"/>
          <w:kern w:val="0"/>
          <w:sz w:val="32"/>
          <w:szCs w:val="32"/>
          <w:lang w:eastAsia="zh-CN"/>
        </w:rPr>
        <w:t>工作</w:t>
      </w:r>
      <w:r>
        <w:rPr>
          <w:rFonts w:hint="eastAsia" w:ascii="Times New Roman" w:hAnsi="Times New Roman" w:eastAsia="仿宋_GB2312" w:cs="Times New Roman"/>
          <w:kern w:val="0"/>
          <w:sz w:val="32"/>
          <w:szCs w:val="32"/>
        </w:rPr>
        <w:t>机制，建立健全网格化服务管理，完善信访制度，继续做好</w:t>
      </w:r>
      <w:r>
        <w:rPr>
          <w:rFonts w:ascii="Times New Roman" w:hAnsi="Times New Roman" w:eastAsia="仿宋_GB2312" w:cs="Times New Roman"/>
          <w:kern w:val="0"/>
          <w:sz w:val="32"/>
          <w:szCs w:val="32"/>
        </w:rPr>
        <w:t>12345</w:t>
      </w:r>
      <w:r>
        <w:rPr>
          <w:rFonts w:hint="eastAsia" w:ascii="Times New Roman" w:hAnsi="Times New Roman" w:eastAsia="仿宋_GB2312" w:cs="Times New Roman"/>
          <w:kern w:val="0"/>
          <w:sz w:val="32"/>
          <w:szCs w:val="32"/>
        </w:rPr>
        <w:t>政府服务热线工作。常态化推进扫黑除恶工作，持续开展禁毒大会战，严厉打击涉赌涉黄涉枪涉爆、非法集资、跨境赌博、盗抢骗和食药环领域等违法犯罪活动。加强未成年人保护和预防犯罪工作。扎实推进市域社会治理现代化。充分发挥群团组织和志愿者在社会治理中的作用。创新社区服务与治理机制，探索设立小区服务网点，打造新型服务社区。完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一核两委一会</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乡村治理机制，发挥基层党组织对基层社会治理的领导核心作用。推进城乡防灾减灾救灾体系建设，提高应急处置能力。</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topLinePunct w:val="0"/>
              <w:autoSpaceDE/>
              <w:autoSpaceDN/>
              <w:bidi w:val="0"/>
              <w:adjustRightInd w:val="0"/>
              <w:snapToGrid w:val="0"/>
              <w:spacing w:before="156" w:beforeLines="50" w:line="240" w:lineRule="auto"/>
              <w:jc w:val="center"/>
              <w:textAlignment w:val="auto"/>
              <w:rPr>
                <w:rFonts w:ascii="Times New Roman" w:hAnsi="Times New Roman" w:eastAsia="宋体" w:cs="Times New Roman"/>
                <w:b/>
                <w:kern w:val="0"/>
                <w:sz w:val="28"/>
                <w:szCs w:val="28"/>
              </w:rPr>
            </w:pPr>
            <w:r>
              <w:rPr>
                <w:rFonts w:hint="eastAsia" w:ascii="黑体" w:hAnsi="黑体" w:eastAsia="黑体" w:cs="黑体"/>
                <w:b w:val="0"/>
                <w:bCs/>
                <w:sz w:val="28"/>
                <w:szCs w:val="28"/>
              </w:rPr>
              <w:t>专栏</w:t>
            </w:r>
            <w:r>
              <w:rPr>
                <w:rFonts w:hint="eastAsia" w:ascii="黑体" w:hAnsi="黑体" w:eastAsia="黑体" w:cs="黑体"/>
                <w:b w:val="0"/>
                <w:bCs/>
                <w:sz w:val="28"/>
                <w:szCs w:val="28"/>
                <w:lang w:val="en-US" w:eastAsia="zh-CN"/>
              </w:rPr>
              <w:t>11</w:t>
            </w:r>
            <w:r>
              <w:rPr>
                <w:rFonts w:hint="eastAsia" w:ascii="黑体" w:hAnsi="黑体" w:eastAsia="黑体" w:cs="黑体"/>
                <w:b w:val="0"/>
                <w:bCs/>
                <w:sz w:val="28"/>
                <w:szCs w:val="28"/>
              </w:rPr>
              <w:t xml:space="preserve">  平安</w:t>
            </w:r>
            <w:r>
              <w:rPr>
                <w:rFonts w:hint="eastAsia" w:ascii="黑体" w:hAnsi="黑体" w:eastAsia="黑体" w:cs="黑体"/>
                <w:b w:val="0"/>
                <w:bCs/>
                <w:sz w:val="28"/>
                <w:szCs w:val="28"/>
                <w:lang w:eastAsia="zh-CN"/>
              </w:rPr>
              <w:t>东方</w:t>
            </w:r>
            <w:r>
              <w:rPr>
                <w:rFonts w:hint="eastAsia" w:ascii="黑体" w:hAnsi="黑体" w:eastAsia="黑体" w:cs="黑体"/>
                <w:b w:val="0"/>
                <w:bCs/>
                <w:sz w:val="28"/>
                <w:szCs w:val="28"/>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val="0"/>
              <w:topLinePunct w:val="0"/>
              <w:autoSpaceDE/>
              <w:autoSpaceDN/>
              <w:bidi w:val="0"/>
              <w:adjustRightInd/>
              <w:snapToGrid/>
              <w:spacing w:beforeLines="0" w:afterLines="0" w:line="600" w:lineRule="exact"/>
              <w:ind w:firstLine="562" w:firstLineChars="200"/>
              <w:textAlignment w:val="auto"/>
              <w:rPr>
                <w:rFonts w:hint="eastAsia" w:ascii="仿宋_GB2312" w:hAnsi="仿宋_GB2312" w:eastAsia="仿宋_GB2312" w:cs="仿宋_GB2312"/>
                <w:b w:val="0"/>
                <w:bCs/>
                <w:kern w:val="2"/>
                <w:sz w:val="28"/>
                <w:szCs w:val="28"/>
              </w:rPr>
            </w:pPr>
            <w:r>
              <w:rPr>
                <w:rFonts w:hint="eastAsia" w:ascii="楷体_GB2312" w:eastAsia="楷体_GB2312" w:hAnsiTheme="minorHAnsi" w:cstheme="minorBidi"/>
                <w:b/>
                <w:bCs w:val="0"/>
                <w:kern w:val="2"/>
                <w:sz w:val="28"/>
                <w:szCs w:val="28"/>
              </w:rPr>
              <w:t>（一）公安基础设施建设项目</w:t>
            </w:r>
            <w:r>
              <w:rPr>
                <w:rFonts w:hint="eastAsia" w:ascii="楷体_GB2312" w:eastAsia="楷体_GB2312" w:hAnsiTheme="minorHAnsi" w:cstheme="minorBidi"/>
                <w:b/>
                <w:bCs w:val="0"/>
                <w:kern w:val="2"/>
                <w:sz w:val="28"/>
                <w:szCs w:val="28"/>
                <w:lang w:eastAsia="zh-CN"/>
              </w:rPr>
              <w:t>：</w:t>
            </w:r>
            <w:r>
              <w:rPr>
                <w:rFonts w:hint="eastAsia" w:ascii="仿宋_GB2312" w:hAnsi="仿宋_GB2312" w:eastAsia="仿宋_GB2312" w:cs="仿宋_GB2312"/>
                <w:b w:val="0"/>
                <w:bCs/>
                <w:kern w:val="2"/>
                <w:sz w:val="28"/>
                <w:szCs w:val="28"/>
              </w:rPr>
              <w:t>八所派出所搬迁</w:t>
            </w:r>
            <w:r>
              <w:rPr>
                <w:rFonts w:hint="eastAsia" w:ascii="仿宋_GB2312" w:hAnsi="仿宋_GB2312" w:eastAsia="仿宋_GB2312" w:cs="仿宋_GB2312"/>
                <w:b w:val="0"/>
                <w:bCs/>
                <w:kern w:val="2"/>
                <w:sz w:val="28"/>
                <w:szCs w:val="28"/>
                <w:lang w:eastAsia="zh-CN"/>
              </w:rPr>
              <w:t>建设</w:t>
            </w:r>
            <w:r>
              <w:rPr>
                <w:rFonts w:hint="eastAsia" w:ascii="仿宋_GB2312" w:hAnsi="仿宋_GB2312" w:eastAsia="仿宋_GB2312" w:cs="仿宋_GB2312"/>
                <w:b w:val="0"/>
                <w:bCs/>
                <w:kern w:val="2"/>
                <w:sz w:val="28"/>
                <w:szCs w:val="28"/>
              </w:rPr>
              <w:t>项目，派出所办案区信息化建设，基层派出所办案区、后勤保障及附属用房建设，公安检查站</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民警训练场所，</w:t>
            </w:r>
            <w:r>
              <w:rPr>
                <w:rFonts w:hint="eastAsia" w:ascii="仿宋_GB2312" w:hAnsi="仿宋_GB2312" w:eastAsia="仿宋_GB2312" w:cs="仿宋_GB2312"/>
                <w:b w:val="0"/>
                <w:bCs/>
                <w:kern w:val="2"/>
                <w:sz w:val="28"/>
                <w:szCs w:val="28"/>
                <w:lang w:eastAsia="zh-CN"/>
              </w:rPr>
              <w:t>专门学校，</w:t>
            </w:r>
            <w:r>
              <w:rPr>
                <w:rFonts w:hint="eastAsia" w:ascii="仿宋_GB2312" w:hAnsi="仿宋_GB2312" w:eastAsia="仿宋_GB2312" w:cs="仿宋_GB2312"/>
                <w:b w:val="0"/>
                <w:bCs/>
                <w:kern w:val="2"/>
                <w:sz w:val="28"/>
                <w:szCs w:val="28"/>
              </w:rPr>
              <w:t>东方市公安局车辆管理所业务用房，基层派出所办公楼维修改造，执法办案管理中心建设项目。</w:t>
            </w:r>
          </w:p>
          <w:p>
            <w:pPr>
              <w:keepNext w:val="0"/>
              <w:keepLines w:val="0"/>
              <w:pageBreakBefore w:val="0"/>
              <w:kinsoku/>
              <w:wordWrap/>
              <w:overflowPunct w:val="0"/>
              <w:topLinePunct w:val="0"/>
              <w:autoSpaceDE/>
              <w:autoSpaceDN/>
              <w:bidi w:val="0"/>
              <w:adjustRightInd/>
              <w:snapToGrid/>
              <w:spacing w:beforeLines="0" w:afterLines="0" w:line="600" w:lineRule="exact"/>
              <w:ind w:firstLine="562" w:firstLineChars="200"/>
              <w:textAlignment w:val="auto"/>
              <w:rPr>
                <w:rFonts w:ascii="Times New Roman" w:hAnsi="Times New Roman" w:eastAsia="楷体_GB2312" w:cs="Times New Roman"/>
                <w:kern w:val="0"/>
                <w:sz w:val="24"/>
                <w:szCs w:val="24"/>
              </w:rPr>
            </w:pPr>
            <w:r>
              <w:rPr>
                <w:rFonts w:hint="eastAsia" w:ascii="楷体_GB2312" w:eastAsia="楷体_GB2312" w:hAnsiTheme="minorHAnsi" w:cstheme="minorBidi"/>
                <w:b/>
                <w:bCs w:val="0"/>
                <w:kern w:val="2"/>
                <w:sz w:val="28"/>
                <w:szCs w:val="28"/>
                <w:lang w:eastAsia="zh-CN"/>
              </w:rPr>
              <w:t>（二）平安东方信息化项目：</w:t>
            </w:r>
            <w:r>
              <w:rPr>
                <w:rFonts w:hint="eastAsia" w:ascii="仿宋_GB2312" w:hAnsi="仿宋_GB2312" w:eastAsia="仿宋_GB2312" w:cs="仿宋_GB2312"/>
                <w:b w:val="0"/>
                <w:bCs/>
                <w:kern w:val="2"/>
                <w:sz w:val="28"/>
                <w:szCs w:val="28"/>
              </w:rPr>
              <w:t>东方市</w:t>
            </w:r>
            <w:r>
              <w:rPr>
                <w:rFonts w:hint="eastAsia" w:ascii="仿宋_GB2312" w:hAnsi="仿宋_GB2312" w:eastAsia="仿宋_GB2312" w:cs="仿宋_GB2312"/>
                <w:b w:val="0"/>
                <w:bCs/>
                <w:kern w:val="2"/>
                <w:sz w:val="28"/>
                <w:szCs w:val="28"/>
                <w:lang w:eastAsia="zh-CN"/>
              </w:rPr>
              <w:t>立</w:t>
            </w:r>
            <w:r>
              <w:rPr>
                <w:rFonts w:hint="eastAsia" w:ascii="仿宋_GB2312" w:hAnsi="仿宋_GB2312" w:eastAsia="仿宋_GB2312" w:cs="仿宋_GB2312"/>
                <w:b w:val="0"/>
                <w:bCs/>
                <w:kern w:val="2"/>
                <w:sz w:val="28"/>
                <w:szCs w:val="28"/>
              </w:rPr>
              <w:t>体化治安防控三期项目，社管平台、综治分平台</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全域实景多维立体防控平台，执法办案管理中心信息化</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重点阵地</w:t>
            </w:r>
            <w:r>
              <w:rPr>
                <w:rFonts w:hint="eastAsia" w:ascii="仿宋_GB2312" w:hAnsi="仿宋_GB2312" w:eastAsia="仿宋_GB2312" w:cs="仿宋_GB2312"/>
                <w:b w:val="0"/>
                <w:bCs/>
                <w:kern w:val="2"/>
                <w:sz w:val="28"/>
                <w:szCs w:val="28"/>
                <w:lang w:eastAsia="zh-CN"/>
              </w:rPr>
              <w:t>、</w:t>
            </w:r>
            <w:r>
              <w:rPr>
                <w:rFonts w:hint="eastAsia" w:ascii="仿宋_GB2312" w:hAnsi="仿宋_GB2312" w:eastAsia="仿宋_GB2312" w:cs="仿宋_GB2312"/>
                <w:b w:val="0"/>
                <w:bCs/>
                <w:kern w:val="2"/>
                <w:sz w:val="28"/>
                <w:szCs w:val="28"/>
              </w:rPr>
              <w:t>反诈合成作战中心基础建设，看守所“智慧监所”工程，东方市公安局视频督查系统升级改造项目</w:t>
            </w:r>
            <w:r>
              <w:rPr>
                <w:rFonts w:hint="eastAsia" w:ascii="仿宋_GB2312" w:hAnsi="仿宋_GB2312" w:eastAsia="仿宋_GB2312" w:cs="仿宋_GB2312"/>
                <w:b w:val="0"/>
                <w:bCs/>
                <w:kern w:val="2"/>
                <w:sz w:val="28"/>
                <w:szCs w:val="28"/>
                <w:lang w:eastAsia="zh-CN"/>
              </w:rPr>
              <w:t>等。</w:t>
            </w:r>
          </w:p>
        </w:tc>
      </w:tr>
    </w:tbl>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3" w:name="_Toc61275615"/>
      <w:r>
        <w:rPr>
          <w:rFonts w:hint="eastAsia" w:ascii="Times New Roman" w:hAnsi="Times New Roman" w:eastAsia="楷体_GB2312" w:cs="Times New Roman"/>
        </w:rPr>
        <w:t>第四节</w:t>
      </w:r>
      <w:r>
        <w:rPr>
          <w:rFonts w:ascii="Times New Roman" w:hAnsi="Times New Roman" w:eastAsia="楷体_GB2312" w:cs="Times New Roman"/>
        </w:rPr>
        <w:t xml:space="preserve">  </w:t>
      </w:r>
      <w:r>
        <w:rPr>
          <w:rFonts w:hint="eastAsia" w:ascii="Times New Roman" w:hAnsi="Times New Roman" w:eastAsia="楷体_GB2312" w:cs="Times New Roman"/>
        </w:rPr>
        <w:t>加强重大风险防控体系建设</w:t>
      </w:r>
      <w:bookmarkEnd w:id="63"/>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把握好不发生重大风险的底线要求，完善监管配套措施，确保自由贸易港建设行稳致远。加强对“人流、物流、资金流”的全天候全方位动态监管，大力防范化解贸易投资风险，优化海关监管方式，完善对国家禁止和限制入境货物、物品的监管，高效精准打击走私活动。完善社会信用大数据平台，实现以信用监管为基础、与负面清单管理相适应的过程监管。大力防范化解金融税收风险，建立健全跨境资金流动监测预警机制，严厉打击洗钱、恐怖融资、逃税等违法犯罪行为。强化对偷税漏税的风险识别，防范税基侵蚀和利润转移。大力防范化解网络安全和数据安全风险。大力防范化解人员流动风险，建立健全境外人员入出境、市内境外人员动态管理体系，实现无缝联动警情处置。大力防范化解公共卫生风险，提高重大疫情防控救治能力，健全统一的应急物资保障体系。加强口岸公共卫生安全、国门生物安全、食品安全、药品安全、产品质量安全管控。积极推进社会管理信息化系统建设，建立提供“一站式”解决纠纷服务的实体平台和在线平台，做好征地拆迁、购房纠纷、劳动保障、拆违控违等矛盾纠纷化解工作。防范化解房地产风险，严厉打击房地产市场违规行为，推进房地产领域矛盾纠纷化解处置。健全安全生产机制。建立健全安全制度和设施建设，解决消防能力与社会经济发展水平不协调等突出问题</w:t>
      </w:r>
      <w:r>
        <w:rPr>
          <w:rFonts w:hint="eastAsia" w:ascii="Times New Roman" w:hAnsi="Times New Roman" w:eastAsia="仿宋_GB2312" w:cs="Times New Roman"/>
          <w:kern w:val="0"/>
          <w:sz w:val="32"/>
          <w:szCs w:val="32"/>
          <w:lang w:eastAsia="zh-CN"/>
        </w:rPr>
        <w:t>，加快农村消防基础设施建设</w:t>
      </w:r>
      <w:r>
        <w:rPr>
          <w:rFonts w:hint="eastAsia" w:ascii="Times New Roman" w:hAnsi="Times New Roman" w:eastAsia="仿宋_GB2312" w:cs="Times New Roman"/>
          <w:kern w:val="0"/>
          <w:sz w:val="32"/>
          <w:szCs w:val="32"/>
        </w:rPr>
        <w:t>。</w:t>
      </w:r>
    </w:p>
    <w:p>
      <w:pPr>
        <w:keepNext w:val="0"/>
        <w:keepLines w:val="0"/>
        <w:pageBreakBefore w:val="0"/>
        <w:widowControl/>
        <w:kinsoku/>
        <w:wordWrap/>
        <w:topLinePunct w:val="0"/>
        <w:autoSpaceDE/>
        <w:autoSpaceDN/>
        <w:bidi w:val="0"/>
        <w:spacing w:line="600" w:lineRule="exact"/>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autoSpaceDE/>
        <w:autoSpaceDN/>
        <w:bidi w:val="0"/>
        <w:adjustRightInd w:val="0"/>
        <w:snapToGrid w:val="0"/>
        <w:spacing w:line="600" w:lineRule="exact"/>
        <w:jc w:val="center"/>
        <w:textAlignment w:val="auto"/>
        <w:outlineLvl w:val="0"/>
        <w:rPr>
          <w:rFonts w:ascii="Times New Roman" w:hAnsi="Times New Roman" w:eastAsia="黑体" w:cs="Times New Roman"/>
          <w:bCs/>
          <w:kern w:val="44"/>
          <w:sz w:val="32"/>
          <w:szCs w:val="32"/>
        </w:rPr>
      </w:pPr>
      <w:bookmarkStart w:id="64" w:name="_Toc61275616"/>
      <w:r>
        <w:rPr>
          <w:rFonts w:ascii="Times New Roman" w:hAnsi="Times New Roman" w:eastAsia="黑体" w:cs="Times New Roman"/>
          <w:bCs/>
          <w:kern w:val="44"/>
          <w:sz w:val="32"/>
          <w:szCs w:val="32"/>
        </w:rPr>
        <w:t xml:space="preserve">第十二章  </w:t>
      </w:r>
      <w:r>
        <w:rPr>
          <w:rFonts w:hint="eastAsia" w:ascii="Times New Roman" w:hAnsi="Times New Roman" w:eastAsia="黑体" w:cs="Times New Roman"/>
          <w:bCs/>
          <w:kern w:val="44"/>
          <w:sz w:val="32"/>
          <w:szCs w:val="32"/>
        </w:rPr>
        <w:t>坚持和加强党的全面领导，为实现“十四五”规划和二〇三五年远景目标而奋斗</w:t>
      </w:r>
      <w:bookmarkEnd w:id="64"/>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毫不动摇坚持党的全面领导，充分调动一切积极因素，广泛团结一切可以团结的力量，形成推动发展的强大合力，不折不扣落实中央、省委的决策部署和“十四五”规划要求。</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5" w:name="_Toc61275617"/>
      <w:r>
        <w:rPr>
          <w:rFonts w:ascii="Times New Roman" w:hAnsi="Times New Roman" w:eastAsia="楷体_GB2312" w:cs="Times New Roman"/>
        </w:rPr>
        <w:t xml:space="preserve">第一节  </w:t>
      </w:r>
      <w:r>
        <w:rPr>
          <w:rFonts w:hint="eastAsia" w:ascii="Times New Roman" w:hAnsi="Times New Roman" w:eastAsia="楷体_GB2312" w:cs="Times New Roman"/>
        </w:rPr>
        <w:t>加强党的集中统一领导</w:t>
      </w:r>
      <w:bookmarkEnd w:id="65"/>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把坚持党中央权威和集中统一领导作为党的政治建设的首要任务，严格遵守政治纪律和政治规矩，不断提高政治判断力、政治领悟力、政治执行力</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在政治立场、政治方向、政治原则、政治道路上同以习近平同志为核心的党中央保持高度一致，增强“四个意识”、坚定“四个自信”、做到“两个维护”。发挥市委总揽全局、协调各方的作用，不断提升把方向、谋大局、定政策、促改革的能力和定力，增强各级党组织抓落实的主动性和自觉性，为经济社会全面发展提供坚强政治保障。</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6" w:name="_Toc61275618"/>
      <w:r>
        <w:rPr>
          <w:rFonts w:ascii="Times New Roman" w:hAnsi="Times New Roman" w:eastAsia="楷体_GB2312" w:cs="Times New Roman"/>
        </w:rPr>
        <w:t xml:space="preserve">第二节  </w:t>
      </w:r>
      <w:r>
        <w:rPr>
          <w:rFonts w:hint="eastAsia" w:ascii="Times New Roman" w:hAnsi="Times New Roman" w:eastAsia="楷体_GB2312" w:cs="Times New Roman"/>
        </w:rPr>
        <w:t>扎实做好意识形态工作</w:t>
      </w:r>
      <w:bookmarkEnd w:id="66"/>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坚持党管宣传、党管意识形态、党管媒体的原则，牢牢掌握意识形态工作的领导权和新闻舆论工作主导权，加强重点理论</w:t>
      </w:r>
      <w:r>
        <w:rPr>
          <w:rFonts w:hint="eastAsia" w:ascii="Times New Roman" w:hAnsi="Times New Roman" w:eastAsia="仿宋_GB2312" w:cs="Times New Roman"/>
          <w:kern w:val="0"/>
          <w:sz w:val="32"/>
          <w:szCs w:val="32"/>
          <w:lang w:eastAsia="zh-CN"/>
        </w:rPr>
        <w:t>研究</w:t>
      </w:r>
      <w:r>
        <w:rPr>
          <w:rFonts w:hint="eastAsia" w:ascii="Times New Roman" w:hAnsi="Times New Roman" w:eastAsia="仿宋_GB2312" w:cs="Times New Roman"/>
          <w:kern w:val="0"/>
          <w:sz w:val="32"/>
          <w:szCs w:val="32"/>
        </w:rPr>
        <w:t>，深入</w:t>
      </w:r>
      <w:r>
        <w:rPr>
          <w:rFonts w:hint="eastAsia" w:ascii="Times New Roman" w:hAnsi="Times New Roman" w:eastAsia="仿宋_GB2312" w:cs="Times New Roman"/>
          <w:kern w:val="0"/>
          <w:sz w:val="32"/>
          <w:szCs w:val="32"/>
          <w:lang w:eastAsia="zh-CN"/>
        </w:rPr>
        <w:t>贯彻落实</w:t>
      </w:r>
      <w:r>
        <w:rPr>
          <w:rFonts w:hint="eastAsia" w:ascii="Times New Roman" w:hAnsi="Times New Roman" w:eastAsia="仿宋_GB2312" w:cs="Times New Roman"/>
          <w:kern w:val="0"/>
          <w:sz w:val="32"/>
          <w:szCs w:val="32"/>
        </w:rPr>
        <w:t>习近平新时代中国特色社会主义思想。推动理想信念教育常态化制度化，加强爱国主义、集体主义、社会主义教育，大力弘扬“敢闯敢试、敢为人先、埋头苦干”的特区精神和“扎根守土、坚韧不拔、无私奉献”的椰树精神。</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7" w:name="_Toc61275619"/>
      <w:r>
        <w:rPr>
          <w:rFonts w:ascii="Times New Roman" w:hAnsi="Times New Roman" w:eastAsia="楷体_GB2312" w:cs="Times New Roman"/>
        </w:rPr>
        <w:t xml:space="preserve">第三节  </w:t>
      </w:r>
      <w:r>
        <w:rPr>
          <w:rFonts w:hint="eastAsia" w:ascii="Times New Roman" w:hAnsi="Times New Roman" w:eastAsia="楷体_GB2312" w:cs="Times New Roman"/>
        </w:rPr>
        <w:t>增强基层党组织政治功能和组织力</w:t>
      </w:r>
      <w:bookmarkEnd w:id="67"/>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巩固“不忘初心、牢记使命”主题教育成果。全面加强基层党组织的政治建设、思想建设、组织建设、作风建设、纪律建设和制度建设。实施海南自由贸易港党建工程，提升两新党组织覆盖率，完善园区党建、候鸟党建、城市区域化党建，建立健全更加科学、规范、高效的基层组织体系，不断强化党组织在自由贸易港建设中的领导核心地位。全面加强基层党员干部素质能力，选优配强乡镇领导班子、村（居）“两委”成员特别是村（居）党支部书记，建设政治过硬、本领过硬、作风过硬、符合自贸港建设需要的基层党员干部队伍。坚持推行“三级书记”抓乡村振兴，选派一批优秀干部到乡村振兴一线岗位，把乡村振兴作为培养锻炼干部的广阔舞台。树立“互联网+党建”理念，打造智慧党建平台，提升党的建设质量。</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8" w:name="_Toc61275620"/>
      <w:r>
        <w:rPr>
          <w:rFonts w:ascii="Times New Roman" w:hAnsi="Times New Roman" w:eastAsia="楷体_GB2312" w:cs="Times New Roman"/>
        </w:rPr>
        <w:t xml:space="preserve">第四节  </w:t>
      </w:r>
      <w:r>
        <w:rPr>
          <w:rFonts w:hint="eastAsia" w:ascii="Times New Roman" w:hAnsi="Times New Roman" w:eastAsia="楷体_GB2312" w:cs="Times New Roman"/>
        </w:rPr>
        <w:t>建设高素质专业化干部队伍</w:t>
      </w:r>
      <w:bookmarkEnd w:id="68"/>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全面贯彻新时代党的组织路线，加强干部队伍建设，提高各级领导班子和干部队伍适应新时代新要求抓改革、促发展、保稳定的工作水平和专业化能力。坚持党管干部原则，坚持事业为上、选贤任能，突出政治标准，以正确用人导向引领干事创业导向，在自由贸易港建设实践和乡村振兴一线认识好干部、培养好干部、用好好干部，探索体现新发展理念和政绩观要求的干部考核评价体系</w:t>
      </w:r>
      <w:r>
        <w:rPr>
          <w:rFonts w:hint="eastAsia" w:ascii="Times New Roman" w:hAnsi="Times New Roman" w:eastAsia="仿宋_GB2312" w:cs="Times New Roman"/>
          <w:kern w:val="0"/>
          <w:sz w:val="32"/>
          <w:szCs w:val="32"/>
          <w:lang w:eastAsia="zh-CN"/>
        </w:rPr>
        <w:t>，推行实名推荐和无任用推荐制度</w:t>
      </w:r>
      <w:r>
        <w:rPr>
          <w:rFonts w:hint="eastAsia" w:ascii="Times New Roman" w:hAnsi="Times New Roman" w:eastAsia="仿宋_GB2312" w:cs="Times New Roman"/>
          <w:kern w:val="0"/>
          <w:sz w:val="32"/>
          <w:szCs w:val="32"/>
        </w:rPr>
        <w:t>。强化干部教育培训，加强年轻干部队伍建设，推动干部双向挂职常态化，鼓励干部到基层一线、困难艰苦地区历练，增强“八种本领”，提升“七种能力”锤炼党员干部的政治品格。加强对敢担当善作为干部的激励保护，落实好《海南自由贸易港公职人员容错纠错办法（试行）》，坚持“三个区分开来”，旗帜鲜明地为敢闯敢试、勇于担当、一心为公、不谋私利的干部撑腰鼓劲，进一步增强敢为人先、敢闯敢试的冲劲和勇气，在全社会积极营造鼓励创新、宽容失误的氛围，凝聚各方力量，形成推动改革开放创新的强大合力。</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69" w:name="_Toc61275621"/>
      <w:r>
        <w:rPr>
          <w:rFonts w:hint="eastAsia" w:ascii="Times New Roman" w:hAnsi="Times New Roman" w:eastAsia="楷体_GB2312" w:cs="Times New Roman"/>
        </w:rPr>
        <w:t>第五节  创新人才发展体制机制</w:t>
      </w:r>
      <w:bookmarkEnd w:id="69"/>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强化党管人才的核心作用，完善人才工作考核机制，增强党管人才战略协同治理能力。紧紧围绕我市经济发展战略，编制《东方市2021~2025年人才发展规划》，促进人才发展和经济社会发展深度融合。出台急需紧缺人才引进办法，定期编制、动态调整急需紧缺人才目录，创新“不求所有、但求所用”引才机制，探索“新东方人”人才引进和使用机制。探索人才培养新模式、新途径，依托“市校合作”实施覆盖各类人才的“四航”育才工程，打造“政府+企业+高校+科研院所+用人单位”五位一体的育才新模式。加强专业人才工作室建设，跟踪培养入选各类人才工程项目人选。坚持政府和市场相结合，推进人才服务“单一窗口”建设，优化提升高层次人才联络服务队伍素质，建立健全人才服务体系和机制。建立以能力和业绩为导向，以薪酬为主要指标，向基层倾斜的人才评价机制。设立创业扶持资金、医疗教育发展资金，形成以政府投入为导向、社会力量参与的激励机制。</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70" w:name="_Toc61275622"/>
      <w:r>
        <w:rPr>
          <w:rFonts w:hint="eastAsia" w:ascii="Times New Roman" w:hAnsi="Times New Roman" w:eastAsia="楷体_GB2312" w:cs="Times New Roman"/>
        </w:rPr>
        <w:t>第六节  以优良作风狠抓各项任务落实</w:t>
      </w:r>
      <w:bookmarkEnd w:id="70"/>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建立健全抓工作落实的机制，以绝对忠诚的政治品格、入脑入心的学思践悟、勇挑重担的担当负责、敢闯敢试的开拓创新、落细落小的钉钉子精神、人人奉献的浓厚氛围狠抓落实。要提高干部落实水平，坚决杜绝形式主义、官僚主义，用心谋事、专心干事、尽心成事，确保“十四五”规划目标任务全面完成。坚持正向激励与反向问责相结合，鼓励引导广大党员干部主动作为、实干担当，推动东方经济社会高质量发展。</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71" w:name="_Toc61275623"/>
      <w:r>
        <w:rPr>
          <w:rFonts w:hint="eastAsia" w:ascii="Times New Roman" w:hAnsi="Times New Roman" w:eastAsia="楷体_GB2312" w:cs="Times New Roman"/>
        </w:rPr>
        <w:t>第七节  持之以恒正风肃纪反腐</w:t>
      </w:r>
      <w:bookmarkEnd w:id="71"/>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落实全面从严治党，把“严”的主基调长期坚持下去，加强政治监督，强化对公权力运行的制约和监督。锲而不舍落实中央八项规定精神，持续纠治“四风”特别是形式主义、官僚主义，切实为基层减负。运用监督执纪“四种形态”，加强思想道德和党纪国法教育，一体推进不敢腐、不能腐、不想腐，营造风清气正的良好政治生态。</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72" w:name="_Toc61275624"/>
      <w:r>
        <w:rPr>
          <w:rFonts w:hint="eastAsia" w:ascii="Times New Roman" w:hAnsi="Times New Roman" w:eastAsia="楷体_GB2312" w:cs="Times New Roman"/>
        </w:rPr>
        <w:t>第八节  发挥党的统一战线优势进一步凝心聚力</w:t>
      </w:r>
      <w:bookmarkEnd w:id="72"/>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创新群众工作体制机制，充分发挥人民政协、民主党派、工商联和无党派人士作用，全面落实党的知识分子、民族、宗教、侨务等政策，紧密联系和服务港澳台同胞及海外侨胞，推进民族团结进步创建“七进”活动，铸牢中华民族共同体意识。发挥工会、共青团、妇联、关工委等组织作用，动员广大人民群众积极投身海南全面深化改革开放主战场。</w:t>
      </w:r>
    </w:p>
    <w:p>
      <w:pPr>
        <w:pStyle w:val="4"/>
        <w:keepNext w:val="0"/>
        <w:keepLines w:val="0"/>
        <w:pageBreakBefore w:val="0"/>
        <w:kinsoku/>
        <w:wordWrap/>
        <w:topLinePunct w:val="0"/>
        <w:autoSpaceDE/>
        <w:autoSpaceDN/>
        <w:bidi w:val="0"/>
        <w:adjustRightInd w:val="0"/>
        <w:snapToGrid w:val="0"/>
        <w:spacing w:before="156" w:beforeLines="50" w:after="156" w:afterLines="50" w:line="600" w:lineRule="exact"/>
        <w:jc w:val="center"/>
        <w:textAlignment w:val="auto"/>
        <w:rPr>
          <w:rFonts w:ascii="Times New Roman" w:hAnsi="Times New Roman" w:eastAsia="楷体_GB2312" w:cs="Times New Roman"/>
        </w:rPr>
      </w:pPr>
      <w:bookmarkStart w:id="73" w:name="_Toc61275625"/>
      <w:r>
        <w:rPr>
          <w:rFonts w:hint="eastAsia" w:ascii="Times New Roman" w:hAnsi="Times New Roman" w:eastAsia="楷体_GB2312" w:cs="Times New Roman"/>
        </w:rPr>
        <w:t>第九节  健全规划制定和落实机制</w:t>
      </w:r>
      <w:bookmarkEnd w:id="73"/>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制定“十四五”规划纲要和专项规划，要坚决贯彻党中央决策部署，落实本建议提出的指导思想、基本原则、主要目标和重点任务，强化前瞻性、科学性、可操作性，形成定位准确、边界清晰、功能互补、统一衔接的规划体系。健全工作协调推进机制，完善规划实施评估机制、调整修订机制，确保“十四五”发展各项目标任务落到实处。</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全市各级党组织和广大党员干部群众要更加紧密团结在以习近平同志为核心的党中央周围，在省委省政府的坚强领导下，解放思想，创新实干，为打造宜居宜业宜游的国际滨海公园城市、高质量高标准推进海南自由贸易港建设而奋斗！</w:t>
      </w: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eastAsia="zh-CN"/>
                            </w:rPr>
                            <w:fldChar w:fldCharType="begin"/>
                          </w:r>
                          <w:r>
                            <w:rPr>
                              <w:rFonts w:hint="default" w:ascii="Times New Roman" w:hAnsi="Times New Roman" w:eastAsia="仿宋_GB2312" w:cs="Times New Roman"/>
                              <w:sz w:val="21"/>
                              <w:szCs w:val="21"/>
                              <w:lang w:eastAsia="zh-CN"/>
                            </w:rPr>
                            <w:instrText xml:space="preserve"> PAGE  \* MERGEFORMAT </w:instrText>
                          </w:r>
                          <w:r>
                            <w:rPr>
                              <w:rFonts w:hint="default" w:ascii="Times New Roman" w:hAnsi="Times New Roman" w:eastAsia="仿宋_GB2312" w:cs="Times New Roman"/>
                              <w:sz w:val="21"/>
                              <w:szCs w:val="21"/>
                              <w:lang w:eastAsia="zh-CN"/>
                            </w:rPr>
                            <w:fldChar w:fldCharType="separate"/>
                          </w: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k0DSR9UAAAAHAQAADwAAAAAAAAABACAAAAA4AAAAZHJzL2Rvd25yZXYueG1sUEsBAhQAFAAA&#10;AAgAh07iQL+r47wVAgAAGQQAAA4AAAAAAAAAAQAgAAAAOgEAAGRycy9lMm9Eb2MueG1sUEsFBgAA&#10;AAAGAAYAWQEAAME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eastAsia="zh-CN"/>
                      </w:rPr>
                      <w:fldChar w:fldCharType="begin"/>
                    </w:r>
                    <w:r>
                      <w:rPr>
                        <w:rFonts w:hint="default" w:ascii="Times New Roman" w:hAnsi="Times New Roman" w:eastAsia="仿宋_GB2312" w:cs="Times New Roman"/>
                        <w:sz w:val="21"/>
                        <w:szCs w:val="21"/>
                        <w:lang w:eastAsia="zh-CN"/>
                      </w:rPr>
                      <w:instrText xml:space="preserve"> PAGE  \* MERGEFORMAT </w:instrText>
                    </w:r>
                    <w:r>
                      <w:rPr>
                        <w:rFonts w:hint="default" w:ascii="Times New Roman" w:hAnsi="Times New Roman" w:eastAsia="仿宋_GB2312" w:cs="Times New Roman"/>
                        <w:sz w:val="21"/>
                        <w:szCs w:val="21"/>
                        <w:lang w:eastAsia="zh-CN"/>
                      </w:rPr>
                      <w:fldChar w:fldCharType="separate"/>
                    </w: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eastAsia="zh-CN"/>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eastAsia="仿宋_GB2312" w:cs="Times New Roman"/>
                              <w:sz w:val="21"/>
                              <w:szCs w:val="21"/>
                              <w:lang w:eastAsia="zh-CN"/>
                            </w:rPr>
                            <w:fldChar w:fldCharType="begin"/>
                          </w:r>
                          <w:r>
                            <w:rPr>
                              <w:rFonts w:hint="default" w:ascii="Times New Roman" w:hAnsi="Times New Roman" w:eastAsia="仿宋_GB2312" w:cs="Times New Roman"/>
                              <w:sz w:val="21"/>
                              <w:szCs w:val="21"/>
                              <w:lang w:eastAsia="zh-CN"/>
                            </w:rPr>
                            <w:instrText xml:space="preserve"> PAGE  \* MERGEFORMAT </w:instrText>
                          </w:r>
                          <w:r>
                            <w:rPr>
                              <w:rFonts w:hint="default" w:ascii="Times New Roman" w:hAnsi="Times New Roman" w:eastAsia="仿宋_GB2312" w:cs="Times New Roman"/>
                              <w:sz w:val="21"/>
                              <w:szCs w:val="21"/>
                              <w:lang w:eastAsia="zh-CN"/>
                            </w:rPr>
                            <w:fldChar w:fldCharType="separate"/>
                          </w: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TDx//0wAAAAYBAAAPAAAAAAAAAAEAIAAAADgAAABkcnMvZG93bnJldi54bWxQSwECFAAUAAAA&#10;CACHTuJABp+M3hYCAAAZBAAADgAAAAAAAAABACAAAAA4AQAAZHJzL2Uyb0RvYy54bWxQSwUGAAAA&#10;AAYABgBZAQAAw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eastAsia="仿宋_GB2312" w:cs="Times New Roman"/>
                        <w:sz w:val="21"/>
                        <w:szCs w:val="21"/>
                        <w:lang w:eastAsia="zh-CN"/>
                      </w:rPr>
                      <w:fldChar w:fldCharType="begin"/>
                    </w:r>
                    <w:r>
                      <w:rPr>
                        <w:rFonts w:hint="default" w:ascii="Times New Roman" w:hAnsi="Times New Roman" w:eastAsia="仿宋_GB2312" w:cs="Times New Roman"/>
                        <w:sz w:val="21"/>
                        <w:szCs w:val="21"/>
                        <w:lang w:eastAsia="zh-CN"/>
                      </w:rPr>
                      <w:instrText xml:space="preserve"> PAGE  \* MERGEFORMAT </w:instrText>
                    </w:r>
                    <w:r>
                      <w:rPr>
                        <w:rFonts w:hint="default" w:ascii="Times New Roman" w:hAnsi="Times New Roman" w:eastAsia="仿宋_GB2312" w:cs="Times New Roman"/>
                        <w:sz w:val="21"/>
                        <w:szCs w:val="21"/>
                        <w:lang w:eastAsia="zh-CN"/>
                      </w:rPr>
                      <w:fldChar w:fldCharType="separate"/>
                    </w: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eastAsia="zh-CN"/>
                      </w:rPr>
                      <w:fldChar w:fldCharType="end"/>
                    </w:r>
                  </w:p>
                </w:txbxContent>
              </v:textbox>
            </v:shape>
          </w:pict>
        </mc:Fallback>
      </mc:AlternateContent>
    </w:r>
  </w:p>
  <w:p>
    <w:pPr>
      <w:pStyle w:val="12"/>
    </w:pPr>
    <w:r>
      <w:rPr>
        <w:sz w:val="21"/>
      </w:rPr>
      <mc:AlternateContent>
        <mc:Choice Requires="wps">
          <w:drawing>
            <wp:anchor distT="0" distB="0" distL="114300" distR="114300" simplePos="0" relativeHeight="251659264" behindDoc="0" locked="0" layoutInCell="1" allowOverlap="1">
              <wp:simplePos x="0" y="0"/>
              <wp:positionH relativeFrom="margin">
                <wp:posOffset>-774700</wp:posOffset>
              </wp:positionH>
              <wp:positionV relativeFrom="paragraph">
                <wp:posOffset>148590</wp:posOffset>
              </wp:positionV>
              <wp:extent cx="1940560" cy="22542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940560" cy="225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sz w:val="21"/>
                              <w:szCs w:val="21"/>
                              <w:lang w:val="en-US" w:eastAsia="zh-CN"/>
                            </w:rPr>
                          </w:pPr>
                        </w:p>
                      </w:txbxContent>
                    </wps:txbx>
                    <wps:bodyPr rot="0" spcFirstLastPara="0" vertOverflow="overflow" horzOverflow="overflow" vert="horz" wrap="square" lIns="0" tIns="0" rIns="0" bIns="0" numCol="1" spcCol="0" rtlCol="0" fromWordArt="false" anchor="t" anchorCtr="false" forceAA="false" compatLnSpc="true"/>
                  </wps:wsp>
                </a:graphicData>
              </a:graphic>
            </wp:anchor>
          </w:drawing>
        </mc:Choice>
        <mc:Fallback>
          <w:pict>
            <v:shape id="_x0000_s1026" o:spid="_x0000_s1026" o:spt="202" type="#_x0000_t202" style="position:absolute;left:0pt;margin-left:-61pt;margin-top:11.7pt;height:17.75pt;width:152.8pt;mso-position-horizontal-relative:margin;z-index:251659264;mso-width-relative:page;mso-height-relative:page;" filled="f" stroked="f" coordsize="21600,21600" o:gfxdata="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7NZF0tkAAAAKAQAADwAAAAAAAAABACAAAAA4AAAAZHJzL2Rvd25yZXYueG1sUEsBAhQAFAAAAAgA&#10;h07iQGoRUSwOAgAAAAQAAA4AAAAAAAAAAQAgAAAAPgEAAGRycy9lMm9Eb2MueG1sUEsFBgAAAAAG&#10;AAYAWQEAAL4FAAAAAA==&#10;">
              <v:fill on="f" focussize="0,0"/>
              <v:stroke on="f" weight="0.5pt"/>
              <v:imagedata o:title=""/>
              <o:lock v:ext="edit" aspectratio="f"/>
              <v:textbox inset="0mm,0mm,0mm,0mm">
                <w:txbxContent>
                  <w:p>
                    <w:pPr>
                      <w:pStyle w:val="2"/>
                      <w:rPr>
                        <w:rFonts w:hint="eastAsia"/>
                        <w:sz w:val="21"/>
                        <w:szCs w:val="21"/>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wRlC6tMAAAAGAQAADwAAAAAAAAABACAAAAA4AAAAZHJzL2Rvd25yZXYueG1sUEsBAhQAFAAAAAgA&#10;h07iQCruUMsUAgAAGwQAAA4AAAAAAAAAAQAgAAAAOAEAAGRycy9lMm9Eb2MueG1sUEsFBgAAAAAG&#10;AAYAWQEAAL4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lang w:eastAsia="zh-CN"/>
                      </w:rPr>
                      <w:fldChar w:fldCharType="end"/>
                    </w:r>
                  </w:p>
                </w:txbxContent>
              </v:textbox>
            </v:shape>
          </w:pict>
        </mc:Fallback>
      </mc:AlternateConten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lt;root&gt;&lt;sender&gt;dfsfgw@163.com&lt;/sender&gt;&lt;type&gt;2&lt;/type&gt;&lt;subject&gt;附件1.东方市国民经济和社会发展第十四个五年规划和二○三五年远景目标纲要（已修改）&lt;/subject&gt;&lt;attachmentName&gt;附件1.东方市国民经济和社会发展第十四个五年规划和二○三五年远景目标纲要（已修改）.docx&lt;/attachmentName&gt;&lt;addressee&gt;ghc_fgw@hainan.gov.cn&lt;/addressee&gt;&lt;mailSec&gt;无密级&lt;/mailSec&gt;&lt;sendTime&gt;2021-03-18 10:13:27&lt;/sendTime&gt;&lt;loadTime&gt;2021-03-18 16:40:23&lt;/loadTime&gt;&lt;/root&gt;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7CFAD90"/>
    <w:rsid w:val="CBB76CEC"/>
    <w:rsid w:val="E7F5FBC9"/>
    <w:rsid w:val="F7DA2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rPr>
      <w:rFonts w:ascii="Calibri" w:hAnsi="Calibri" w:eastAsia="宋体" w:cs="Times New Roman"/>
    </w:rPr>
  </w:style>
  <w:style w:type="paragraph" w:styleId="6">
    <w:name w:val="Normal Indent"/>
    <w:basedOn w:val="1"/>
    <w:qFormat/>
    <w:uiPriority w:val="0"/>
    <w:pPr>
      <w:ind w:firstLine="420"/>
    </w:pPr>
    <w:rPr>
      <w:rFonts w:hint="eastAsia" w:ascii="Calibri" w:hAnsi="Calibri" w:eastAsia="宋体" w:cs="宋体"/>
    </w:rPr>
  </w:style>
  <w:style w:type="paragraph" w:styleId="7">
    <w:name w:val="Body Text"/>
    <w:basedOn w:val="1"/>
    <w:next w:val="8"/>
    <w:link w:val="30"/>
    <w:qFormat/>
    <w:uiPriority w:val="0"/>
    <w:pPr>
      <w:widowControl/>
      <w:spacing w:after="120"/>
      <w:jc w:val="left"/>
    </w:pPr>
    <w:rPr>
      <w:rFonts w:ascii="Times New Roman" w:hAnsi="Times New Roman" w:eastAsia="仿宋_GB2312" w:cs="Times New Roman"/>
      <w:sz w:val="32"/>
      <w:szCs w:val="24"/>
    </w:rPr>
  </w:style>
  <w:style w:type="paragraph" w:styleId="8">
    <w:name w:val="Title"/>
    <w:basedOn w:val="1"/>
    <w:next w:val="1"/>
    <w:link w:val="31"/>
    <w:qFormat/>
    <w:uiPriority w:val="0"/>
    <w:pPr>
      <w:spacing w:before="240" w:after="60"/>
      <w:jc w:val="center"/>
      <w:outlineLvl w:val="0"/>
    </w:pPr>
    <w:rPr>
      <w:rFonts w:eastAsia="宋体" w:asciiTheme="majorHAnsi" w:hAnsiTheme="majorHAnsi" w:cstheme="majorBidi"/>
      <w:b/>
      <w:bCs/>
      <w:sz w:val="32"/>
      <w:szCs w:val="32"/>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Date"/>
    <w:basedOn w:val="1"/>
    <w:next w:val="1"/>
    <w:link w:val="29"/>
    <w:unhideWhenUsed/>
    <w:qFormat/>
    <w:uiPriority w:val="99"/>
    <w:pPr>
      <w:ind w:left="100" w:leftChars="2500"/>
    </w:pPr>
  </w:style>
  <w:style w:type="paragraph" w:styleId="11">
    <w:name w:val="Balloon Text"/>
    <w:basedOn w:val="1"/>
    <w:link w:val="25"/>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HTML Preformatted"/>
    <w:basedOn w:val="1"/>
    <w:link w:val="3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qFormat/>
    <w:uiPriority w:val="0"/>
    <w:pPr>
      <w:spacing w:beforeAutospacing="1" w:afterAutospacing="1"/>
      <w:jc w:val="left"/>
    </w:pPr>
    <w:rPr>
      <w:rFonts w:cs="Times New Roman"/>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customStyle="1" w:styleId="22">
    <w:name w:val="标题 1 Char"/>
    <w:basedOn w:val="20"/>
    <w:link w:val="3"/>
    <w:qFormat/>
    <w:uiPriority w:val="9"/>
    <w:rPr>
      <w:b/>
      <w:bCs/>
      <w:kern w:val="44"/>
      <w:sz w:val="44"/>
      <w:szCs w:val="44"/>
    </w:rPr>
  </w:style>
  <w:style w:type="character" w:customStyle="1" w:styleId="23">
    <w:name w:val="标题 2 Char"/>
    <w:basedOn w:val="20"/>
    <w:link w:val="4"/>
    <w:qFormat/>
    <w:uiPriority w:val="9"/>
    <w:rPr>
      <w:rFonts w:asciiTheme="majorHAnsi" w:hAnsiTheme="majorHAnsi" w:eastAsiaTheme="majorEastAsia" w:cstheme="majorBidi"/>
      <w:b/>
      <w:bCs/>
      <w:sz w:val="32"/>
      <w:szCs w:val="32"/>
    </w:rPr>
  </w:style>
  <w:style w:type="character" w:customStyle="1" w:styleId="24">
    <w:name w:val="标题 3 Char"/>
    <w:basedOn w:val="20"/>
    <w:link w:val="5"/>
    <w:qFormat/>
    <w:uiPriority w:val="9"/>
    <w:rPr>
      <w:b/>
      <w:bCs/>
      <w:sz w:val="32"/>
      <w:szCs w:val="32"/>
    </w:rPr>
  </w:style>
  <w:style w:type="character" w:customStyle="1" w:styleId="25">
    <w:name w:val="批注框文本 Char"/>
    <w:basedOn w:val="20"/>
    <w:link w:val="11"/>
    <w:semiHidden/>
    <w:qFormat/>
    <w:uiPriority w:val="99"/>
    <w:rPr>
      <w:sz w:val="18"/>
      <w:szCs w:val="18"/>
    </w:rPr>
  </w:style>
  <w:style w:type="character" w:customStyle="1" w:styleId="26">
    <w:name w:val="页眉 Char"/>
    <w:basedOn w:val="20"/>
    <w:link w:val="13"/>
    <w:qFormat/>
    <w:uiPriority w:val="99"/>
    <w:rPr>
      <w:sz w:val="18"/>
      <w:szCs w:val="18"/>
    </w:rPr>
  </w:style>
  <w:style w:type="character" w:customStyle="1" w:styleId="27">
    <w:name w:val="页脚 Char"/>
    <w:basedOn w:val="20"/>
    <w:link w:val="12"/>
    <w:qFormat/>
    <w:uiPriority w:val="99"/>
    <w:rPr>
      <w:sz w:val="18"/>
      <w:szCs w:val="18"/>
    </w:rPr>
  </w:style>
  <w:style w:type="paragraph" w:customStyle="1" w:styleId="2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日期 Char"/>
    <w:basedOn w:val="20"/>
    <w:link w:val="10"/>
    <w:semiHidden/>
    <w:qFormat/>
    <w:uiPriority w:val="99"/>
  </w:style>
  <w:style w:type="character" w:customStyle="1" w:styleId="30">
    <w:name w:val="正文文本 Char"/>
    <w:basedOn w:val="20"/>
    <w:link w:val="7"/>
    <w:qFormat/>
    <w:uiPriority w:val="0"/>
    <w:rPr>
      <w:rFonts w:ascii="Times New Roman" w:hAnsi="Times New Roman" w:eastAsia="仿宋_GB2312" w:cs="Times New Roman"/>
      <w:sz w:val="32"/>
      <w:szCs w:val="24"/>
    </w:rPr>
  </w:style>
  <w:style w:type="character" w:customStyle="1" w:styleId="31">
    <w:name w:val="标题 Char"/>
    <w:basedOn w:val="20"/>
    <w:link w:val="8"/>
    <w:qFormat/>
    <w:uiPriority w:val="10"/>
    <w:rPr>
      <w:rFonts w:eastAsia="宋体" w:asciiTheme="majorHAnsi" w:hAnsiTheme="majorHAnsi" w:cstheme="majorBidi"/>
      <w:b/>
      <w:bCs/>
      <w:sz w:val="32"/>
      <w:szCs w:val="32"/>
    </w:rPr>
  </w:style>
  <w:style w:type="paragraph" w:customStyle="1" w:styleId="32">
    <w:name w:val="NormalIndent"/>
    <w:basedOn w:val="1"/>
    <w:qFormat/>
    <w:uiPriority w:val="0"/>
    <w:pPr>
      <w:ind w:firstLine="420" w:firstLineChars="200"/>
    </w:pPr>
    <w:rPr>
      <w:rFonts w:ascii="Calibri" w:hAnsi="Calibri" w:eastAsia="宋体" w:cs="宋体"/>
    </w:rPr>
  </w:style>
  <w:style w:type="paragraph" w:customStyle="1" w:styleId="33">
    <w:name w:val="报告正文"/>
    <w:basedOn w:val="1"/>
    <w:qFormat/>
    <w:uiPriority w:val="0"/>
    <w:pPr>
      <w:ind w:firstLine="576"/>
      <w:textAlignment w:val="baseline"/>
    </w:pPr>
    <w:rPr>
      <w:rFonts w:ascii="Calibri" w:hAnsi="Calibri" w:eastAsia="宋体" w:cs="宋体"/>
      <w:spacing w:val="4"/>
      <w:kern w:val="0"/>
    </w:rPr>
  </w:style>
  <w:style w:type="paragraph" w:customStyle="1" w:styleId="34">
    <w:name w:val="正文（首行缩进2字符）"/>
    <w:basedOn w:val="1"/>
    <w:qFormat/>
    <w:uiPriority w:val="0"/>
    <w:pPr>
      <w:spacing w:line="360" w:lineRule="auto"/>
      <w:ind w:firstLine="480"/>
    </w:pPr>
    <w:rPr>
      <w:rFonts w:ascii="Calibri" w:hAnsi="Calibri" w:eastAsia="宋体" w:cs="宋体"/>
      <w:szCs w:val="24"/>
    </w:rPr>
  </w:style>
  <w:style w:type="character" w:customStyle="1" w:styleId="35">
    <w:name w:val="HTML 预设格式 Char"/>
    <w:basedOn w:val="20"/>
    <w:link w:val="16"/>
    <w:qFormat/>
    <w:uiPriority w:val="0"/>
    <w:rPr>
      <w:rFonts w:ascii="宋体" w:hAnsi="宋体" w:eastAsia="宋体" w:cs="Times New Roman"/>
      <w:kern w:val="0"/>
      <w:sz w:val="24"/>
      <w:szCs w:val="24"/>
    </w:rPr>
  </w:style>
  <w:style w:type="paragraph" w:customStyle="1" w:styleId="36">
    <w:name w:val="Revision"/>
    <w:hidden/>
    <w:semiHidden/>
    <w:qFormat/>
    <w:uiPriority w:val="99"/>
    <w:pPr>
      <w:spacing w:after="200" w:line="276" w:lineRule="auto"/>
    </w:pPr>
    <w:rPr>
      <w:rFonts w:asciiTheme="minorHAnsi" w:hAnsiTheme="minorHAnsi" w:eastAsiaTheme="minorEastAsia" w:cstheme="minorBidi"/>
      <w:kern w:val="2"/>
      <w:sz w:val="21"/>
      <w:szCs w:val="22"/>
      <w:lang w:val="en-US" w:eastAsia="zh-CN" w:bidi="ar-SA"/>
    </w:rPr>
  </w:style>
  <w:style w:type="table" w:customStyle="1" w:styleId="37">
    <w:name w:val="网格型1"/>
    <w:basedOn w:val="1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2"/>
    <w:basedOn w:val="1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3"/>
    <w:basedOn w:val="1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4"/>
    <w:basedOn w:val="1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海南化工城正文"/>
    <w:basedOn w:val="1"/>
    <w:qFormat/>
    <w:uiPriority w:val="0"/>
    <w:pPr>
      <w:spacing w:line="324" w:lineRule="auto"/>
      <w:ind w:firstLine="480" w:firstLineChars="200"/>
      <w:jc w:val="left"/>
    </w:pPr>
    <w:rPr>
      <w:rFonts w:ascii="宋体" w:hAnsi="宋体" w:eastAsia="宋体" w:cs="宋体"/>
      <w:kern w:val="0"/>
      <w:sz w:val="24"/>
      <w:szCs w:val="20"/>
    </w:rPr>
  </w:style>
  <w:style w:type="character" w:customStyle="1" w:styleId="42">
    <w:name w:val="font21"/>
    <w:basedOn w:val="20"/>
    <w:qFormat/>
    <w:uiPriority w:val="0"/>
    <w:rPr>
      <w:rFonts w:hint="default" w:ascii="Times New Roman" w:hAnsi="Times New Roman" w:cs="Times New Roman"/>
      <w:b/>
      <w:color w:val="000000"/>
      <w:sz w:val="28"/>
      <w:szCs w:val="28"/>
      <w:u w:val="none"/>
    </w:rPr>
  </w:style>
  <w:style w:type="character" w:customStyle="1" w:styleId="43">
    <w:name w:val="font31"/>
    <w:basedOn w:val="20"/>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39871</Words>
  <Characters>40418</Characters>
  <Lines>300</Lines>
  <Paragraphs>84</Paragraphs>
  <TotalTime>2</TotalTime>
  <ScaleCrop>false</ScaleCrop>
  <LinksUpToDate>false</LinksUpToDate>
  <CharactersWithSpaces>59005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2021-01-09T02:07:00Z</dcterms:created>
  <dc:creator>zzr</dc:creator>
  <cp:lastModifiedBy>uos</cp:lastModifiedBy>
  <cp:lastPrinted>2021-02-02T03:43:00Z</cp:lastPrinted>
  <dcterms:modified xsi:type="dcterms:W3CDTF">2021-10-14T15:54:18Z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